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D130" w14:textId="77777777"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July 24, 2023</w:t>
      </w:r>
    </w:p>
    <w:p w14:paraId="2AEDCBEC" w14:textId="77777777" w:rsidR="00581C84" w:rsidRDefault="00581C84" w:rsidP="00581C84">
      <w:pPr>
        <w:pStyle w:val="Default"/>
        <w:spacing w:before="0" w:line="240" w:lineRule="auto"/>
        <w:rPr>
          <w:rFonts w:ascii="Times New Roman" w:eastAsia="Times New Roman" w:hAnsi="Times New Roman" w:cs="Times New Roman"/>
          <w:sz w:val="22"/>
          <w:szCs w:val="22"/>
        </w:rPr>
      </w:pPr>
    </w:p>
    <w:p w14:paraId="4B417CCA" w14:textId="77777777" w:rsidR="00B800A5" w:rsidRDefault="004D36B6" w:rsidP="00581C84">
      <w:pPr>
        <w:pStyle w:val="Default"/>
        <w:spacing w:before="0" w:line="240" w:lineRule="auto"/>
        <w:rPr>
          <w:rFonts w:ascii="Times New Roman" w:hAnsi="Times New Roman"/>
          <w:sz w:val="22"/>
          <w:szCs w:val="22"/>
        </w:rPr>
      </w:pPr>
      <w:r>
        <w:rPr>
          <w:rFonts w:ascii="Times New Roman" w:hAnsi="Times New Roman"/>
          <w:sz w:val="22"/>
          <w:szCs w:val="22"/>
        </w:rPr>
        <w:t>Christopher Kirkpatrick</w:t>
      </w:r>
    </w:p>
    <w:p w14:paraId="7FB4DA06" w14:textId="78DCD76E"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Secretary</w:t>
      </w:r>
      <w:r w:rsidR="00DC45F1">
        <w:rPr>
          <w:rFonts w:ascii="Times New Roman" w:hAnsi="Times New Roman"/>
          <w:sz w:val="22"/>
          <w:szCs w:val="22"/>
        </w:rPr>
        <w:t xml:space="preserve"> of the Commission</w:t>
      </w:r>
    </w:p>
    <w:p w14:paraId="581D0859" w14:textId="77777777"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U.S. Commodity Futures Trading Commission</w:t>
      </w:r>
    </w:p>
    <w:p w14:paraId="6CD61506" w14:textId="77777777"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Three Lafayette Centre</w:t>
      </w:r>
    </w:p>
    <w:p w14:paraId="6BF16716" w14:textId="77777777"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1155 21st Street, N.W.</w:t>
      </w:r>
    </w:p>
    <w:p w14:paraId="270CA404" w14:textId="77777777"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lang w:val="it-IT"/>
        </w:rPr>
        <w:t>Washington, D.C. 20581</w:t>
      </w:r>
    </w:p>
    <w:p w14:paraId="43F748FE" w14:textId="77777777" w:rsidR="00581C84" w:rsidRDefault="00581C84" w:rsidP="00581C84">
      <w:pPr>
        <w:pStyle w:val="Default"/>
        <w:spacing w:before="0" w:line="240" w:lineRule="auto"/>
        <w:rPr>
          <w:rFonts w:ascii="Times New Roman" w:eastAsia="Times New Roman" w:hAnsi="Times New Roman" w:cs="Times New Roman"/>
          <w:sz w:val="22"/>
          <w:szCs w:val="22"/>
        </w:rPr>
      </w:pPr>
    </w:p>
    <w:p w14:paraId="311FEE42" w14:textId="39B2902B" w:rsidR="00581C84" w:rsidRPr="004001B0" w:rsidRDefault="004D36B6" w:rsidP="004001B0">
      <w:pPr>
        <w:pStyle w:val="Default"/>
        <w:spacing w:before="240" w:line="240" w:lineRule="auto"/>
        <w:ind w:left="630" w:hanging="630"/>
        <w:rPr>
          <w:rFonts w:ascii="Times New Roman" w:eastAsia="Times New Roman" w:hAnsi="Times New Roman" w:cs="Times New Roman"/>
          <w:b/>
          <w:bCs/>
          <w:sz w:val="22"/>
          <w:szCs w:val="22"/>
        </w:rPr>
      </w:pPr>
      <w:r w:rsidRPr="004001B0">
        <w:rPr>
          <w:rFonts w:ascii="Times New Roman" w:hAnsi="Times New Roman"/>
          <w:b/>
          <w:bCs/>
          <w:sz w:val="22"/>
          <w:szCs w:val="22"/>
        </w:rPr>
        <w:t xml:space="preserve">Re: </w:t>
      </w:r>
      <w:r w:rsidRPr="004001B0">
        <w:rPr>
          <w:rFonts w:ascii="Times New Roman" w:eastAsia="Times New Roman" w:hAnsi="Times New Roman" w:cs="Times New Roman"/>
          <w:b/>
          <w:bCs/>
          <w:sz w:val="22"/>
          <w:szCs w:val="22"/>
        </w:rPr>
        <w:tab/>
      </w:r>
      <w:r w:rsidRPr="004001B0">
        <w:rPr>
          <w:rFonts w:ascii="Times New Roman" w:hAnsi="Times New Roman"/>
          <w:b/>
          <w:bCs/>
          <w:sz w:val="22"/>
          <w:szCs w:val="22"/>
        </w:rPr>
        <w:t xml:space="preserve">CFTC Review of KalshiEx Proposed Congressional Control Contracts </w:t>
      </w:r>
      <w:r w:rsidRPr="004001B0">
        <w:rPr>
          <w:rFonts w:ascii="Times New Roman" w:hAnsi="Times New Roman"/>
          <w:b/>
          <w:bCs/>
          <w:sz w:val="22"/>
          <w:szCs w:val="22"/>
          <w:lang w:val="de-DE"/>
        </w:rPr>
        <w:t>Under CFTC</w:t>
      </w:r>
      <w:r w:rsidRPr="004001B0">
        <w:rPr>
          <w:rFonts w:ascii="Times New Roman" w:hAnsi="Times New Roman"/>
          <w:b/>
          <w:bCs/>
          <w:sz w:val="22"/>
          <w:szCs w:val="22"/>
        </w:rPr>
        <w:t xml:space="preserve"> Regulation</w:t>
      </w:r>
      <w:r w:rsidR="004001B0">
        <w:rPr>
          <w:rFonts w:ascii="Times New Roman" w:hAnsi="Times New Roman"/>
          <w:b/>
          <w:bCs/>
          <w:sz w:val="22"/>
          <w:szCs w:val="22"/>
        </w:rPr>
        <w:t xml:space="preserve"> </w:t>
      </w:r>
      <w:r w:rsidRPr="004001B0">
        <w:rPr>
          <w:rFonts w:ascii="Times New Roman" w:hAnsi="Times New Roman"/>
          <w:b/>
          <w:bCs/>
          <w:sz w:val="22"/>
          <w:szCs w:val="22"/>
        </w:rPr>
        <w:t>40.11</w:t>
      </w:r>
      <w:r w:rsidR="000E6D87">
        <w:rPr>
          <w:rFonts w:ascii="Times New Roman" w:hAnsi="Times New Roman"/>
          <w:b/>
          <w:bCs/>
          <w:sz w:val="22"/>
          <w:szCs w:val="22"/>
        </w:rPr>
        <w:t xml:space="preserve">, </w:t>
      </w:r>
      <w:r w:rsidR="008A2525">
        <w:rPr>
          <w:rFonts w:ascii="Times New Roman" w:hAnsi="Times New Roman"/>
          <w:b/>
          <w:bCs/>
          <w:sz w:val="22"/>
          <w:szCs w:val="22"/>
        </w:rPr>
        <w:t xml:space="preserve">Industry </w:t>
      </w:r>
      <w:r w:rsidR="000E6D87">
        <w:rPr>
          <w:rFonts w:ascii="Times New Roman" w:hAnsi="Times New Roman"/>
          <w:b/>
          <w:bCs/>
          <w:sz w:val="22"/>
          <w:szCs w:val="22"/>
        </w:rPr>
        <w:t>Filing 23-01</w:t>
      </w:r>
      <w:r w:rsidRPr="004001B0">
        <w:rPr>
          <w:rFonts w:ascii="Times New Roman" w:hAnsi="Times New Roman"/>
          <w:b/>
          <w:bCs/>
          <w:sz w:val="22"/>
          <w:szCs w:val="22"/>
        </w:rPr>
        <w:t xml:space="preserve"> </w:t>
      </w:r>
      <w:r w:rsidRPr="004001B0">
        <w:rPr>
          <w:rFonts w:ascii="Times New Roman" w:hAnsi="Times New Roman"/>
          <w:b/>
          <w:bCs/>
          <w:sz w:val="22"/>
          <w:szCs w:val="22"/>
        </w:rPr>
        <w:tab/>
      </w:r>
      <w:r w:rsidRPr="004001B0">
        <w:rPr>
          <w:rFonts w:ascii="Times New Roman" w:hAnsi="Times New Roman"/>
          <w:b/>
          <w:bCs/>
          <w:sz w:val="22"/>
          <w:szCs w:val="22"/>
        </w:rPr>
        <w:tab/>
      </w:r>
      <w:r w:rsidRPr="004001B0">
        <w:rPr>
          <w:rFonts w:ascii="Times New Roman" w:hAnsi="Times New Roman"/>
          <w:b/>
          <w:bCs/>
          <w:sz w:val="22"/>
          <w:szCs w:val="22"/>
        </w:rPr>
        <w:tab/>
      </w:r>
    </w:p>
    <w:p w14:paraId="0989B300" w14:textId="77777777" w:rsidR="00581C84" w:rsidRDefault="00581C84" w:rsidP="00581C84">
      <w:pPr>
        <w:pStyle w:val="Default"/>
        <w:spacing w:before="0" w:line="240" w:lineRule="auto"/>
        <w:rPr>
          <w:rFonts w:ascii="Times New Roman" w:eastAsia="Times New Roman" w:hAnsi="Times New Roman" w:cs="Times New Roman"/>
          <w:sz w:val="22"/>
          <w:szCs w:val="22"/>
        </w:rPr>
      </w:pPr>
    </w:p>
    <w:p w14:paraId="02A4B280" w14:textId="77777777" w:rsidR="00581C84" w:rsidRDefault="004D36B6" w:rsidP="00581C84">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Dear Mr. Kirkpatrick:</w:t>
      </w:r>
    </w:p>
    <w:p w14:paraId="036089C5" w14:textId="77777777" w:rsidR="00581C84" w:rsidRDefault="00581C84" w:rsidP="00581C84">
      <w:pPr>
        <w:pStyle w:val="Default"/>
        <w:spacing w:before="0" w:line="240" w:lineRule="auto"/>
        <w:rPr>
          <w:rFonts w:ascii="Times New Roman" w:eastAsia="Times New Roman" w:hAnsi="Times New Roman" w:cs="Times New Roman"/>
          <w:sz w:val="22"/>
          <w:szCs w:val="22"/>
        </w:rPr>
      </w:pPr>
    </w:p>
    <w:p w14:paraId="2991FB50" w14:textId="0294BABC"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hAnsi="Times New Roman"/>
          <w:sz w:val="22"/>
          <w:szCs w:val="22"/>
        </w:rPr>
        <w:t>In response to the U.S. Commodity Futures Trading Commission’s (“CFTC” or “Commission”) Questions on the KalshiEX LLC (</w:t>
      </w:r>
      <w:r>
        <w:rPr>
          <w:rFonts w:ascii="Times New Roman" w:hAnsi="Times New Roman"/>
          <w:sz w:val="22"/>
          <w:szCs w:val="22"/>
          <w:rtl/>
          <w:lang w:val="ar-SA"/>
        </w:rPr>
        <w:t>“</w:t>
      </w:r>
      <w:r>
        <w:rPr>
          <w:rFonts w:ascii="Times New Roman" w:hAnsi="Times New Roman"/>
          <w:sz w:val="22"/>
          <w:szCs w:val="22"/>
        </w:rPr>
        <w:t>Kalshi”) Contracts for Public Comment,</w:t>
      </w:r>
      <w:r>
        <w:rPr>
          <w:rFonts w:ascii="Times New Roman" w:eastAsia="Times New Roman" w:hAnsi="Times New Roman" w:cs="Times New Roman"/>
          <w:sz w:val="22"/>
          <w:szCs w:val="22"/>
          <w:vertAlign w:val="superscript"/>
        </w:rPr>
        <w:footnoteReference w:id="1"/>
      </w:r>
      <w:r>
        <w:rPr>
          <w:rFonts w:ascii="Times New Roman" w:hAnsi="Times New Roman"/>
          <w:sz w:val="22"/>
          <w:szCs w:val="22"/>
        </w:rPr>
        <w:t xml:space="preserve"> I write on behalf of a client and related </w:t>
      </w:r>
      <w:r w:rsidR="00B800A5">
        <w:rPr>
          <w:rFonts w:ascii="Times New Roman" w:hAnsi="Times New Roman"/>
          <w:sz w:val="22"/>
          <w:szCs w:val="22"/>
        </w:rPr>
        <w:t>interests</w:t>
      </w:r>
      <w:r>
        <w:rPr>
          <w:rFonts w:ascii="Times New Roman" w:hAnsi="Times New Roman"/>
          <w:sz w:val="22"/>
          <w:szCs w:val="22"/>
        </w:rPr>
        <w:t xml:space="preserve"> looking to clarify matters of suitability</w:t>
      </w:r>
      <w:r w:rsidR="005951F8">
        <w:rPr>
          <w:rFonts w:ascii="Times New Roman" w:hAnsi="Times New Roman"/>
          <w:sz w:val="22"/>
          <w:szCs w:val="22"/>
        </w:rPr>
        <w:t xml:space="preserve"> </w:t>
      </w:r>
      <w:r>
        <w:rPr>
          <w:rFonts w:ascii="Times New Roman" w:hAnsi="Times New Roman"/>
          <w:sz w:val="22"/>
          <w:szCs w:val="22"/>
        </w:rPr>
        <w:t>-</w:t>
      </w:r>
      <w:r w:rsidR="005951F8">
        <w:rPr>
          <w:rFonts w:ascii="Times New Roman" w:hAnsi="Times New Roman"/>
          <w:sz w:val="22"/>
          <w:szCs w:val="22"/>
        </w:rPr>
        <w:t xml:space="preserve"> </w:t>
      </w:r>
      <w:r>
        <w:rPr>
          <w:rFonts w:ascii="Times New Roman" w:hAnsi="Times New Roman"/>
          <w:sz w:val="22"/>
          <w:szCs w:val="22"/>
        </w:rPr>
        <w:t>both of exchange operator and beneficial ownership - as well as the Commission</w:t>
      </w:r>
      <w:r>
        <w:rPr>
          <w:rFonts w:ascii="Times New Roman" w:hAnsi="Times New Roman"/>
          <w:sz w:val="22"/>
          <w:szCs w:val="22"/>
          <w:rtl/>
        </w:rPr>
        <w:t>’</w:t>
      </w:r>
      <w:r>
        <w:rPr>
          <w:rFonts w:ascii="Times New Roman" w:hAnsi="Times New Roman"/>
          <w:sz w:val="22"/>
          <w:szCs w:val="22"/>
        </w:rPr>
        <w:t>s role in fostering open and competitive markets</w:t>
      </w:r>
      <w:r w:rsidR="00331409">
        <w:rPr>
          <w:rFonts w:ascii="Times New Roman" w:hAnsi="Times New Roman"/>
          <w:sz w:val="22"/>
          <w:szCs w:val="22"/>
        </w:rPr>
        <w:t xml:space="preserve">. </w:t>
      </w:r>
    </w:p>
    <w:p w14:paraId="6062E961"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4DA025D3" w14:textId="77777777" w:rsidR="00581C84" w:rsidRDefault="004D36B6" w:rsidP="00581C84">
      <w:pPr>
        <w:pStyle w:val="Default"/>
        <w:spacing w:before="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On Suitability of Ownership</w:t>
      </w:r>
    </w:p>
    <w:p w14:paraId="13D7E599"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5C8FDF2B" w14:textId="3DFEECF8"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The most pressing concerns </w:t>
      </w:r>
      <w:r w:rsidR="00E6190E">
        <w:rPr>
          <w:rFonts w:ascii="Times New Roman" w:eastAsia="Times New Roman" w:hAnsi="Times New Roman" w:cs="Times New Roman"/>
          <w:sz w:val="22"/>
          <w:szCs w:val="22"/>
        </w:rPr>
        <w:t xml:space="preserve">we see </w:t>
      </w:r>
      <w:r>
        <w:rPr>
          <w:rFonts w:ascii="Times New Roman" w:eastAsia="Times New Roman" w:hAnsi="Times New Roman" w:cs="Times New Roman"/>
          <w:sz w:val="22"/>
          <w:szCs w:val="22"/>
        </w:rPr>
        <w:t xml:space="preserve">do not regard the legality of the proposed contracts, but rather the intent and capacity of the registrant to maintain public trust in regulated markets and </w:t>
      </w:r>
      <w:r w:rsidR="00FD055F">
        <w:rPr>
          <w:rFonts w:ascii="Times New Roman" w:eastAsia="Times New Roman" w:hAnsi="Times New Roman" w:cs="Times New Roman"/>
          <w:sz w:val="22"/>
          <w:szCs w:val="22"/>
        </w:rPr>
        <w:t xml:space="preserve">the </w:t>
      </w:r>
      <w:r>
        <w:rPr>
          <w:rFonts w:ascii="Times New Roman" w:eastAsia="Times New Roman" w:hAnsi="Times New Roman" w:cs="Times New Roman"/>
          <w:sz w:val="22"/>
          <w:szCs w:val="22"/>
        </w:rPr>
        <w:t xml:space="preserve">democratic process. This is evidenced by the singular theme tying together nearly every comment submitted for Industry Filing 23-01: </w:t>
      </w:r>
      <w:r w:rsidR="005951F8">
        <w:rPr>
          <w:rFonts w:ascii="Times New Roman" w:eastAsia="Times New Roman" w:hAnsi="Times New Roman" w:cs="Times New Roman"/>
          <w:sz w:val="22"/>
          <w:szCs w:val="22"/>
        </w:rPr>
        <w:t>W</w:t>
      </w:r>
      <w:r>
        <w:rPr>
          <w:rFonts w:ascii="Times New Roman" w:eastAsia="Times New Roman" w:hAnsi="Times New Roman" w:cs="Times New Roman"/>
          <w:sz w:val="22"/>
          <w:szCs w:val="22"/>
        </w:rPr>
        <w:t>hether approval would undermine the integrity of U</w:t>
      </w:r>
      <w:r w:rsidR="00FD055F">
        <w:rPr>
          <w:rFonts w:ascii="Times New Roman" w:eastAsia="Times New Roman" w:hAnsi="Times New Roman" w:cs="Times New Roman"/>
          <w:sz w:val="22"/>
          <w:szCs w:val="22"/>
        </w:rPr>
        <w:t>.</w:t>
      </w:r>
      <w:r>
        <w:rPr>
          <w:rFonts w:ascii="Times New Roman" w:eastAsia="Times New Roman" w:hAnsi="Times New Roman" w:cs="Times New Roman"/>
          <w:sz w:val="22"/>
          <w:szCs w:val="22"/>
        </w:rPr>
        <w:t>S</w:t>
      </w:r>
      <w:r w:rsidR="00FD055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elections.</w:t>
      </w:r>
    </w:p>
    <w:p w14:paraId="1671647E"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1728F085" w14:textId="2E894597" w:rsidR="00286CA3" w:rsidRPr="00952B80" w:rsidRDefault="004D36B6" w:rsidP="00581C84">
      <w:pPr>
        <w:pStyle w:val="Default"/>
        <w:spacing w:before="0" w:line="240" w:lineRule="auto"/>
        <w:jc w:val="both"/>
        <w:rPr>
          <w:rFonts w:ascii="Times New Roman" w:hAnsi="Times New Roman"/>
          <w:sz w:val="22"/>
          <w:szCs w:val="22"/>
        </w:rPr>
      </w:pPr>
      <w:r>
        <w:rPr>
          <w:rFonts w:ascii="Times New Roman" w:eastAsia="Times New Roman" w:hAnsi="Times New Roman" w:cs="Times New Roman"/>
          <w:sz w:val="22"/>
          <w:szCs w:val="22"/>
        </w:rPr>
        <w:tab/>
        <w:t xml:space="preserve">Accordingly, we believe it to be material to the Commission and the public that </w:t>
      </w:r>
      <w:r w:rsidR="00FD055F">
        <w:rPr>
          <w:rFonts w:ascii="Times New Roman" w:eastAsia="Times New Roman" w:hAnsi="Times New Roman" w:cs="Times New Roman"/>
          <w:sz w:val="22"/>
          <w:szCs w:val="22"/>
        </w:rPr>
        <w:t xml:space="preserve">it is understood and disclosed where the </w:t>
      </w:r>
      <w:r>
        <w:rPr>
          <w:rFonts w:ascii="Times New Roman" w:eastAsia="Times New Roman" w:hAnsi="Times New Roman" w:cs="Times New Roman"/>
          <w:sz w:val="22"/>
          <w:szCs w:val="22"/>
        </w:rPr>
        <w:t xml:space="preserve">beneficial ownership of </w:t>
      </w:r>
      <w:proofErr w:type="spellStart"/>
      <w:r>
        <w:rPr>
          <w:rFonts w:ascii="Times New Roman" w:eastAsia="Times New Roman" w:hAnsi="Times New Roman" w:cs="Times New Roman"/>
          <w:sz w:val="22"/>
          <w:szCs w:val="22"/>
        </w:rPr>
        <w:t>Kalshi</w:t>
      </w:r>
      <w:proofErr w:type="spellEnd"/>
      <w:r w:rsidR="00FD055F">
        <w:rPr>
          <w:rFonts w:ascii="Times New Roman" w:eastAsia="Times New Roman" w:hAnsi="Times New Roman" w:cs="Times New Roman"/>
          <w:sz w:val="22"/>
          <w:szCs w:val="22"/>
        </w:rPr>
        <w:t xml:space="preserve"> comes from</w:t>
      </w:r>
      <w:r w:rsidR="00331409">
        <w:rPr>
          <w:rFonts w:ascii="Times New Roman" w:eastAsia="Times New Roman" w:hAnsi="Times New Roman" w:cs="Times New Roman"/>
          <w:sz w:val="22"/>
          <w:szCs w:val="22"/>
        </w:rPr>
        <w:t>.</w:t>
      </w:r>
      <w:r w:rsidR="005951F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We further </w:t>
      </w:r>
      <w:r w:rsidR="00E54318">
        <w:rPr>
          <w:rFonts w:ascii="Times New Roman" w:eastAsia="Times New Roman" w:hAnsi="Times New Roman" w:cs="Times New Roman"/>
          <w:sz w:val="22"/>
          <w:szCs w:val="22"/>
        </w:rPr>
        <w:t xml:space="preserve">have reason to </w:t>
      </w:r>
      <w:r>
        <w:rPr>
          <w:rFonts w:ascii="Times New Roman" w:eastAsia="Times New Roman" w:hAnsi="Times New Roman" w:cs="Times New Roman"/>
          <w:sz w:val="22"/>
          <w:szCs w:val="22"/>
        </w:rPr>
        <w:t>understand that there have been efforts to sanitize this concern in recent weeks through the use of secondary market activity</w:t>
      </w:r>
      <w:r w:rsidR="00331409">
        <w:rPr>
          <w:rFonts w:ascii="Times New Roman" w:eastAsia="Times New Roman" w:hAnsi="Times New Roman" w:cs="Times New Roman"/>
          <w:sz w:val="22"/>
          <w:szCs w:val="22"/>
        </w:rPr>
        <w:t xml:space="preserve">. </w:t>
      </w:r>
      <w:r w:rsidR="005951F8">
        <w:rPr>
          <w:rFonts w:ascii="Times New Roman" w:eastAsia="Times New Roman" w:hAnsi="Times New Roman" w:cs="Times New Roman"/>
          <w:sz w:val="22"/>
          <w:szCs w:val="22"/>
        </w:rPr>
        <w:t xml:space="preserve"> </w:t>
      </w:r>
      <w:r w:rsidR="00FD055F">
        <w:rPr>
          <w:rFonts w:ascii="Times New Roman" w:eastAsia="Times New Roman" w:hAnsi="Times New Roman" w:cs="Times New Roman"/>
          <w:sz w:val="22"/>
          <w:szCs w:val="22"/>
        </w:rPr>
        <w:t>W</w:t>
      </w:r>
      <w:r>
        <w:rPr>
          <w:rFonts w:ascii="Times New Roman" w:eastAsia="Times New Roman" w:hAnsi="Times New Roman" w:cs="Times New Roman"/>
          <w:sz w:val="22"/>
          <w:szCs w:val="22"/>
        </w:rPr>
        <w:t xml:space="preserve">e therefore respectfully request that the Commission fully investigate and </w:t>
      </w:r>
      <w:r>
        <w:rPr>
          <w:rFonts w:ascii="Times New Roman" w:hAnsi="Times New Roman"/>
          <w:sz w:val="22"/>
          <w:szCs w:val="22"/>
        </w:rPr>
        <w:t xml:space="preserve">consider </w:t>
      </w:r>
      <w:r w:rsidR="00FD055F">
        <w:rPr>
          <w:rFonts w:ascii="Times New Roman" w:hAnsi="Times New Roman"/>
          <w:sz w:val="22"/>
          <w:szCs w:val="22"/>
        </w:rPr>
        <w:t xml:space="preserve">this and </w:t>
      </w:r>
      <w:r>
        <w:rPr>
          <w:rFonts w:ascii="Times New Roman" w:hAnsi="Times New Roman"/>
          <w:sz w:val="22"/>
          <w:szCs w:val="22"/>
        </w:rPr>
        <w:t>its findings</w:t>
      </w:r>
      <w:r w:rsidR="003C498E">
        <w:rPr>
          <w:rFonts w:ascii="Times New Roman" w:hAnsi="Times New Roman"/>
          <w:sz w:val="22"/>
          <w:szCs w:val="22"/>
        </w:rPr>
        <w:t>, including any whistleblower allegations,</w:t>
      </w:r>
      <w:r>
        <w:rPr>
          <w:rFonts w:ascii="Times New Roman" w:hAnsi="Times New Roman"/>
          <w:sz w:val="22"/>
          <w:szCs w:val="22"/>
        </w:rPr>
        <w:t xml:space="preserve"> towards any final disposition on the proposed contracts</w:t>
      </w:r>
      <w:r w:rsidR="00FD055F">
        <w:rPr>
          <w:rFonts w:ascii="Times New Roman" w:hAnsi="Times New Roman"/>
          <w:sz w:val="22"/>
          <w:szCs w:val="22"/>
        </w:rPr>
        <w:t xml:space="preserve"> concerning U.S. elections</w:t>
      </w:r>
      <w:r>
        <w:rPr>
          <w:rFonts w:ascii="Times New Roman" w:hAnsi="Times New Roman"/>
          <w:sz w:val="22"/>
          <w:szCs w:val="22"/>
        </w:rPr>
        <w:t>.</w:t>
      </w:r>
      <w:r>
        <w:rPr>
          <w:rStyle w:val="FootnoteReference"/>
          <w:rFonts w:ascii="Times New Roman" w:hAnsi="Times New Roman"/>
          <w:sz w:val="22"/>
          <w:szCs w:val="22"/>
        </w:rPr>
        <w:footnoteReference w:id="2"/>
      </w:r>
    </w:p>
    <w:p w14:paraId="189FE161"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48960F85" w14:textId="77777777" w:rsidR="00581C84" w:rsidRDefault="004D36B6" w:rsidP="00581C84">
      <w:pPr>
        <w:pStyle w:val="Default"/>
        <w:spacing w:before="0" w:line="240" w:lineRule="auto"/>
        <w:jc w:val="both"/>
        <w:rPr>
          <w:rFonts w:ascii="Times New Roman" w:eastAsia="Times New Roman" w:hAnsi="Times New Roman" w:cs="Times New Roman"/>
          <w:b/>
          <w:bCs/>
          <w:sz w:val="22"/>
          <w:szCs w:val="22"/>
        </w:rPr>
      </w:pPr>
      <w:r>
        <w:rPr>
          <w:rFonts w:ascii="Times New Roman" w:hAnsi="Times New Roman"/>
          <w:b/>
          <w:bCs/>
          <w:sz w:val="22"/>
          <w:szCs w:val="22"/>
        </w:rPr>
        <w:lastRenderedPageBreak/>
        <w:t>On Suitability of Operator</w:t>
      </w:r>
    </w:p>
    <w:p w14:paraId="3FDE2D85"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498516BD" w14:textId="633F8AF2"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On assessing the intent and capacity of the registrant to maintain public trust, we must also consider </w:t>
      </w:r>
      <w:r w:rsidR="003C498E">
        <w:rPr>
          <w:rFonts w:ascii="Times New Roman" w:eastAsia="Times New Roman" w:hAnsi="Times New Roman" w:cs="Times New Roman"/>
          <w:sz w:val="22"/>
          <w:szCs w:val="22"/>
        </w:rPr>
        <w:t>the potential</w:t>
      </w:r>
      <w:r w:rsidR="00286CA3">
        <w:rPr>
          <w:rFonts w:ascii="Times New Roman" w:eastAsia="Times New Roman" w:hAnsi="Times New Roman" w:cs="Times New Roman"/>
          <w:sz w:val="22"/>
          <w:szCs w:val="22"/>
        </w:rPr>
        <w:t xml:space="preserve"> </w:t>
      </w:r>
      <w:r w:rsidR="003C498E">
        <w:rPr>
          <w:rFonts w:ascii="Times New Roman" w:eastAsia="Times New Roman" w:hAnsi="Times New Roman" w:cs="Times New Roman"/>
          <w:sz w:val="22"/>
          <w:szCs w:val="22"/>
        </w:rPr>
        <w:t xml:space="preserve">of </w:t>
      </w:r>
      <w:r>
        <w:rPr>
          <w:rFonts w:ascii="Times New Roman" w:eastAsia="Times New Roman" w:hAnsi="Times New Roman" w:cs="Times New Roman"/>
          <w:sz w:val="22"/>
          <w:szCs w:val="22"/>
        </w:rPr>
        <w:t>Kalshi</w:t>
      </w:r>
      <w:r>
        <w:rPr>
          <w:rFonts w:ascii="Times New Roman" w:hAnsi="Times New Roman"/>
          <w:sz w:val="22"/>
          <w:szCs w:val="22"/>
          <w:rtl/>
        </w:rPr>
        <w:t>’</w:t>
      </w:r>
      <w:r>
        <w:rPr>
          <w:rFonts w:ascii="Times New Roman" w:hAnsi="Times New Roman"/>
          <w:sz w:val="22"/>
          <w:szCs w:val="22"/>
        </w:rPr>
        <w:t xml:space="preserve">s </w:t>
      </w:r>
      <w:r w:rsidR="00286CA3">
        <w:rPr>
          <w:rFonts w:ascii="Times New Roman" w:hAnsi="Times New Roman"/>
          <w:sz w:val="22"/>
          <w:szCs w:val="22"/>
        </w:rPr>
        <w:t xml:space="preserve">alleged </w:t>
      </w:r>
      <w:r>
        <w:rPr>
          <w:rFonts w:ascii="Times New Roman" w:hAnsi="Times New Roman"/>
          <w:sz w:val="22"/>
          <w:szCs w:val="22"/>
        </w:rPr>
        <w:t xml:space="preserve">history of demonstrated non-compliance. </w:t>
      </w:r>
      <w:r w:rsidR="005951F8">
        <w:rPr>
          <w:rFonts w:ascii="Times New Roman" w:hAnsi="Times New Roman"/>
          <w:sz w:val="22"/>
          <w:szCs w:val="22"/>
        </w:rPr>
        <w:t xml:space="preserve"> </w:t>
      </w:r>
      <w:r w:rsidR="00286CA3">
        <w:rPr>
          <w:rFonts w:ascii="Times New Roman" w:hAnsi="Times New Roman"/>
          <w:sz w:val="22"/>
          <w:szCs w:val="22"/>
        </w:rPr>
        <w:t>Potential</w:t>
      </w:r>
      <w:r>
        <w:rPr>
          <w:rFonts w:ascii="Times New Roman" w:hAnsi="Times New Roman"/>
          <w:sz w:val="22"/>
          <w:szCs w:val="22"/>
        </w:rPr>
        <w:t xml:space="preserve"> allegations</w:t>
      </w:r>
      <w:r w:rsidR="00286CA3">
        <w:rPr>
          <w:rFonts w:ascii="Times New Roman" w:hAnsi="Times New Roman"/>
          <w:sz w:val="22"/>
          <w:szCs w:val="22"/>
        </w:rPr>
        <w:t xml:space="preserve">, including those </w:t>
      </w:r>
      <w:r w:rsidR="00251728">
        <w:rPr>
          <w:rFonts w:ascii="Times New Roman" w:hAnsi="Times New Roman"/>
          <w:sz w:val="22"/>
          <w:szCs w:val="22"/>
        </w:rPr>
        <w:t xml:space="preserve">alleged </w:t>
      </w:r>
      <w:r w:rsidR="00286CA3">
        <w:rPr>
          <w:rFonts w:ascii="Times New Roman" w:hAnsi="Times New Roman"/>
          <w:sz w:val="22"/>
          <w:szCs w:val="22"/>
        </w:rPr>
        <w:t>by a whistleblower,</w:t>
      </w:r>
      <w:r>
        <w:rPr>
          <w:rFonts w:ascii="Times New Roman" w:hAnsi="Times New Roman"/>
          <w:sz w:val="22"/>
          <w:szCs w:val="22"/>
        </w:rPr>
        <w:t xml:space="preserve"> not only suggest the willful failure to disclose beneficial ownership interests that are contrary to the public interest, but also a history of deceiving the Commission and investing little to no resources into core competencies such as market surveillance and regulatory compliance.</w:t>
      </w:r>
    </w:p>
    <w:p w14:paraId="11C63F2F"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7D729E79" w14:textId="11E982BA"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Accordingly, if the proposed contracts are to be made available to the public, we respectfully request that the Commission resolve the following sufficient to satisfy public interest concerns and capacity requirements under DCM Core Principle 2: If Kalshi lacks the capacity to administer its existing duties as a DCM, how can it then safeguard the integrity of U</w:t>
      </w:r>
      <w:r w:rsidR="005951F8">
        <w:rPr>
          <w:rFonts w:ascii="Times New Roman" w:eastAsia="Times New Roman" w:hAnsi="Times New Roman" w:cs="Times New Roman"/>
          <w:sz w:val="22"/>
          <w:szCs w:val="22"/>
        </w:rPr>
        <w:t>.</w:t>
      </w:r>
      <w:r>
        <w:rPr>
          <w:rFonts w:ascii="Times New Roman" w:eastAsia="Times New Roman" w:hAnsi="Times New Roman" w:cs="Times New Roman"/>
          <w:sz w:val="22"/>
          <w:szCs w:val="22"/>
        </w:rPr>
        <w:t>S</w:t>
      </w:r>
      <w:r w:rsidR="005951F8">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elections?</w:t>
      </w:r>
      <w:r>
        <w:rPr>
          <w:rFonts w:ascii="Times New Roman" w:eastAsia="Times New Roman" w:hAnsi="Times New Roman" w:cs="Times New Roman"/>
          <w:sz w:val="22"/>
          <w:szCs w:val="22"/>
          <w:vertAlign w:val="superscript"/>
        </w:rPr>
        <w:footnoteReference w:id="3"/>
      </w:r>
    </w:p>
    <w:p w14:paraId="31369533" w14:textId="77777777" w:rsidR="00581C84" w:rsidRDefault="00581C84" w:rsidP="00581C84">
      <w:pPr>
        <w:pStyle w:val="Default"/>
        <w:spacing w:before="0" w:line="240" w:lineRule="auto"/>
        <w:jc w:val="both"/>
        <w:rPr>
          <w:rFonts w:ascii="Times New Roman" w:eastAsia="Times New Roman" w:hAnsi="Times New Roman" w:cs="Times New Roman"/>
          <w:b/>
          <w:bCs/>
          <w:sz w:val="22"/>
          <w:szCs w:val="22"/>
        </w:rPr>
      </w:pPr>
    </w:p>
    <w:p w14:paraId="16068824" w14:textId="77777777" w:rsidR="00581C84" w:rsidRDefault="004D36B6" w:rsidP="00581C84">
      <w:pPr>
        <w:pStyle w:val="Default"/>
        <w:spacing w:before="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On Competition</w:t>
      </w:r>
    </w:p>
    <w:p w14:paraId="13A192EA"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388DD993" w14:textId="3CE2A54B"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Sovereign influence is unfortunately not </w:t>
      </w:r>
      <w:r w:rsidR="00EE51F7">
        <w:rPr>
          <w:rFonts w:ascii="Times New Roman" w:eastAsia="Times New Roman" w:hAnsi="Times New Roman" w:cs="Times New Roman"/>
          <w:sz w:val="22"/>
          <w:szCs w:val="22"/>
        </w:rPr>
        <w:t xml:space="preserve">potentially </w:t>
      </w:r>
      <w:r>
        <w:rPr>
          <w:rFonts w:ascii="Times New Roman" w:eastAsia="Times New Roman" w:hAnsi="Times New Roman" w:cs="Times New Roman"/>
          <w:sz w:val="22"/>
          <w:szCs w:val="22"/>
        </w:rPr>
        <w:t xml:space="preserve">limited to </w:t>
      </w:r>
      <w:proofErr w:type="spellStart"/>
      <w:r>
        <w:rPr>
          <w:rFonts w:ascii="Times New Roman" w:eastAsia="Times New Roman" w:hAnsi="Times New Roman" w:cs="Times New Roman"/>
          <w:sz w:val="22"/>
          <w:szCs w:val="22"/>
        </w:rPr>
        <w:t>Kalshi</w:t>
      </w:r>
      <w:proofErr w:type="spellEnd"/>
      <w:r>
        <w:rPr>
          <w:rFonts w:ascii="Times New Roman" w:eastAsia="Times New Roman" w:hAnsi="Times New Roman" w:cs="Times New Roman"/>
          <w:sz w:val="22"/>
          <w:szCs w:val="22"/>
        </w:rPr>
        <w:t xml:space="preserve"> as dozens of prominent venture capital and private equity firms have recently been disclosed as conduits of Saudi Arabia</w:t>
      </w:r>
      <w:r>
        <w:rPr>
          <w:rFonts w:ascii="Times New Roman" w:hAnsi="Times New Roman"/>
          <w:sz w:val="22"/>
          <w:szCs w:val="22"/>
          <w:rtl/>
        </w:rPr>
        <w:t>’</w:t>
      </w:r>
      <w:r>
        <w:rPr>
          <w:rFonts w:ascii="Times New Roman" w:hAnsi="Times New Roman"/>
          <w:sz w:val="22"/>
          <w:szCs w:val="22"/>
        </w:rPr>
        <w:t>s sovereign wealth fund</w:t>
      </w:r>
      <w:r w:rsidR="00286CA3">
        <w:rPr>
          <w:rFonts w:ascii="Times New Roman" w:hAnsi="Times New Roman"/>
          <w:sz w:val="22"/>
          <w:szCs w:val="22"/>
        </w:rPr>
        <w:t>, for example</w:t>
      </w:r>
      <w:r>
        <w:rPr>
          <w:rFonts w:ascii="Times New Roman" w:hAnsi="Times New Roman"/>
          <w:sz w:val="22"/>
          <w:szCs w:val="22"/>
        </w:rPr>
        <w:t>.</w:t>
      </w:r>
      <w:r>
        <w:rPr>
          <w:rFonts w:ascii="Times New Roman" w:eastAsia="Times New Roman" w:hAnsi="Times New Roman" w:cs="Times New Roman"/>
          <w:sz w:val="22"/>
          <w:szCs w:val="22"/>
          <w:vertAlign w:val="superscript"/>
        </w:rPr>
        <w:footnoteReference w:id="4"/>
      </w:r>
      <w:r>
        <w:rPr>
          <w:rFonts w:ascii="Times New Roman" w:hAnsi="Times New Roman"/>
          <w:sz w:val="22"/>
          <w:szCs w:val="22"/>
        </w:rPr>
        <w:t xml:space="preserve"> </w:t>
      </w:r>
      <w:r w:rsidR="001D11C9">
        <w:rPr>
          <w:rFonts w:ascii="Times New Roman" w:hAnsi="Times New Roman"/>
          <w:sz w:val="22"/>
          <w:szCs w:val="22"/>
        </w:rPr>
        <w:t xml:space="preserve"> We would note as well that during recent hearings before Congress, both the Chair of the CFTC and the Chair of the U.S. Securities </w:t>
      </w:r>
      <w:r w:rsidR="007A22E1">
        <w:rPr>
          <w:rFonts w:ascii="Times New Roman" w:hAnsi="Times New Roman"/>
          <w:sz w:val="22"/>
          <w:szCs w:val="22"/>
        </w:rPr>
        <w:t xml:space="preserve">and </w:t>
      </w:r>
      <w:r w:rsidR="001D11C9">
        <w:rPr>
          <w:rFonts w:ascii="Times New Roman" w:hAnsi="Times New Roman"/>
          <w:sz w:val="22"/>
          <w:szCs w:val="22"/>
        </w:rPr>
        <w:t xml:space="preserve">Exchange Commission (“SEC”) have been questioned about ownership of </w:t>
      </w:r>
      <w:r w:rsidR="00C25B17">
        <w:rPr>
          <w:rFonts w:ascii="Times New Roman" w:hAnsi="Times New Roman"/>
          <w:sz w:val="22"/>
          <w:szCs w:val="22"/>
        </w:rPr>
        <w:t xml:space="preserve">their </w:t>
      </w:r>
      <w:r w:rsidR="001D11C9">
        <w:rPr>
          <w:rFonts w:ascii="Times New Roman" w:hAnsi="Times New Roman"/>
          <w:sz w:val="22"/>
          <w:szCs w:val="22"/>
        </w:rPr>
        <w:t>regulated entities.</w:t>
      </w:r>
      <w:r>
        <w:rPr>
          <w:rStyle w:val="FootnoteReference"/>
          <w:rFonts w:ascii="Times New Roman" w:hAnsi="Times New Roman"/>
          <w:sz w:val="22"/>
          <w:szCs w:val="22"/>
        </w:rPr>
        <w:footnoteReference w:id="5"/>
      </w:r>
      <w:r w:rsidR="001D11C9">
        <w:rPr>
          <w:rFonts w:ascii="Times New Roman" w:hAnsi="Times New Roman"/>
          <w:sz w:val="22"/>
          <w:szCs w:val="22"/>
        </w:rPr>
        <w:t xml:space="preserve">  </w:t>
      </w:r>
      <w:r>
        <w:rPr>
          <w:rFonts w:ascii="Times New Roman" w:hAnsi="Times New Roman"/>
          <w:sz w:val="22"/>
          <w:szCs w:val="22"/>
        </w:rPr>
        <w:t xml:space="preserve">While not prohibited in many instances, </w:t>
      </w:r>
      <w:r w:rsidR="007A22E1">
        <w:rPr>
          <w:rFonts w:ascii="Times New Roman" w:hAnsi="Times New Roman"/>
          <w:sz w:val="22"/>
          <w:szCs w:val="22"/>
        </w:rPr>
        <w:t xml:space="preserve">we would submit that </w:t>
      </w:r>
      <w:r>
        <w:rPr>
          <w:rFonts w:ascii="Times New Roman" w:hAnsi="Times New Roman"/>
          <w:sz w:val="22"/>
          <w:szCs w:val="22"/>
        </w:rPr>
        <w:t xml:space="preserve">a benefit of the doubt simply </w:t>
      </w:r>
      <w:r w:rsidR="007A22E1">
        <w:rPr>
          <w:rFonts w:ascii="Times New Roman" w:hAnsi="Times New Roman"/>
          <w:sz w:val="22"/>
          <w:szCs w:val="22"/>
        </w:rPr>
        <w:t xml:space="preserve">should not </w:t>
      </w:r>
      <w:r>
        <w:rPr>
          <w:rFonts w:ascii="Times New Roman" w:hAnsi="Times New Roman"/>
          <w:sz w:val="22"/>
          <w:szCs w:val="22"/>
        </w:rPr>
        <w:t>be conferred to those attempting to safeguard a cornerstone of the U</w:t>
      </w:r>
      <w:r w:rsidR="00286CA3">
        <w:rPr>
          <w:rFonts w:ascii="Times New Roman" w:hAnsi="Times New Roman"/>
          <w:sz w:val="22"/>
          <w:szCs w:val="22"/>
        </w:rPr>
        <w:t>.</w:t>
      </w:r>
      <w:r>
        <w:rPr>
          <w:rFonts w:ascii="Times New Roman" w:hAnsi="Times New Roman"/>
          <w:sz w:val="22"/>
          <w:szCs w:val="22"/>
        </w:rPr>
        <w:t>S</w:t>
      </w:r>
      <w:r w:rsidR="00286CA3">
        <w:rPr>
          <w:rFonts w:ascii="Times New Roman" w:hAnsi="Times New Roman"/>
          <w:sz w:val="22"/>
          <w:szCs w:val="22"/>
        </w:rPr>
        <w:t>.</w:t>
      </w:r>
      <w:r>
        <w:rPr>
          <w:rFonts w:ascii="Times New Roman" w:hAnsi="Times New Roman"/>
          <w:sz w:val="22"/>
          <w:szCs w:val="22"/>
        </w:rPr>
        <w:t xml:space="preserve"> democratic process - particularly when operating with unfair political influence under presumed immunity.</w:t>
      </w:r>
      <w:r>
        <w:rPr>
          <w:rFonts w:ascii="Times New Roman" w:eastAsia="Times New Roman" w:hAnsi="Times New Roman" w:cs="Times New Roman"/>
          <w:sz w:val="22"/>
          <w:szCs w:val="22"/>
          <w:vertAlign w:val="superscript"/>
        </w:rPr>
        <w:footnoteReference w:id="6"/>
      </w:r>
      <w:r w:rsidR="00286CA3">
        <w:rPr>
          <w:rFonts w:ascii="Times New Roman" w:hAnsi="Times New Roman"/>
          <w:sz w:val="22"/>
          <w:szCs w:val="22"/>
        </w:rPr>
        <w:t xml:space="preserve">  </w:t>
      </w:r>
    </w:p>
    <w:p w14:paraId="34E0A994"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29D6700E" w14:textId="7BF340CB"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 xml:space="preserve">Likewise, given </w:t>
      </w:r>
      <w:r w:rsidR="00C25B17">
        <w:rPr>
          <w:rFonts w:ascii="Times New Roman" w:eastAsia="Times New Roman" w:hAnsi="Times New Roman" w:cs="Times New Roman"/>
          <w:sz w:val="22"/>
          <w:szCs w:val="22"/>
        </w:rPr>
        <w:t>that this was not done through a rulemaking</w:t>
      </w:r>
      <w:r w:rsidR="00D12CC8">
        <w:rPr>
          <w:rFonts w:ascii="Times New Roman" w:eastAsia="Times New Roman" w:hAnsi="Times New Roman" w:cs="Times New Roman"/>
          <w:sz w:val="22"/>
          <w:szCs w:val="22"/>
        </w:rPr>
        <w:t xml:space="preserve"> applicable to all current or potentiall</w:t>
      </w:r>
      <w:r w:rsidR="00251728">
        <w:rPr>
          <w:rFonts w:ascii="Times New Roman" w:eastAsia="Times New Roman" w:hAnsi="Times New Roman" w:cs="Times New Roman"/>
          <w:sz w:val="22"/>
          <w:szCs w:val="22"/>
        </w:rPr>
        <w:t>y</w:t>
      </w:r>
      <w:r w:rsidR="00D12CC8">
        <w:rPr>
          <w:rFonts w:ascii="Times New Roman" w:eastAsia="Times New Roman" w:hAnsi="Times New Roman" w:cs="Times New Roman"/>
          <w:sz w:val="22"/>
          <w:szCs w:val="22"/>
        </w:rPr>
        <w:t xml:space="preserve"> involved parties</w:t>
      </w:r>
      <w:r w:rsidR="00C25B17">
        <w:rPr>
          <w:rFonts w:ascii="Times New Roman" w:eastAsia="Times New Roman" w:hAnsi="Times New Roman" w:cs="Times New Roman"/>
          <w:sz w:val="22"/>
          <w:szCs w:val="22"/>
        </w:rPr>
        <w:t xml:space="preserve">, </w:t>
      </w:r>
      <w:r w:rsidR="00251728">
        <w:rPr>
          <w:rFonts w:ascii="Times New Roman" w:eastAsia="Times New Roman" w:hAnsi="Times New Roman" w:cs="Times New Roman"/>
          <w:sz w:val="22"/>
          <w:szCs w:val="22"/>
        </w:rPr>
        <w:t xml:space="preserve">which </w:t>
      </w:r>
      <w:r w:rsidR="00D12CC8">
        <w:rPr>
          <w:rFonts w:ascii="Times New Roman" w:eastAsia="Times New Roman" w:hAnsi="Times New Roman" w:cs="Times New Roman"/>
          <w:sz w:val="22"/>
          <w:szCs w:val="22"/>
        </w:rPr>
        <w:t>contribu</w:t>
      </w:r>
      <w:r w:rsidR="00251728">
        <w:rPr>
          <w:rFonts w:ascii="Times New Roman" w:eastAsia="Times New Roman" w:hAnsi="Times New Roman" w:cs="Times New Roman"/>
          <w:sz w:val="22"/>
          <w:szCs w:val="22"/>
        </w:rPr>
        <w:t>tes</w:t>
      </w:r>
      <w:r w:rsidR="00D12CC8">
        <w:rPr>
          <w:rFonts w:ascii="Times New Roman" w:eastAsia="Times New Roman" w:hAnsi="Times New Roman" w:cs="Times New Roman"/>
          <w:sz w:val="22"/>
          <w:szCs w:val="22"/>
        </w:rPr>
        <w:t xml:space="preserve"> to</w:t>
      </w:r>
      <w:r w:rsidR="00C25B1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the </w:t>
      </w:r>
      <w:r w:rsidR="005951F8">
        <w:rPr>
          <w:rFonts w:ascii="Times New Roman" w:eastAsia="Times New Roman" w:hAnsi="Times New Roman" w:cs="Times New Roman"/>
          <w:sz w:val="22"/>
          <w:szCs w:val="22"/>
        </w:rPr>
        <w:t xml:space="preserve">purported </w:t>
      </w:r>
      <w:r>
        <w:rPr>
          <w:rFonts w:ascii="Times New Roman" w:eastAsia="Times New Roman" w:hAnsi="Times New Roman" w:cs="Times New Roman"/>
          <w:sz w:val="22"/>
          <w:szCs w:val="22"/>
        </w:rPr>
        <w:t>anti-competitive nature of Kalshi</w:t>
      </w:r>
      <w:r>
        <w:rPr>
          <w:rFonts w:ascii="Times New Roman" w:hAnsi="Times New Roman"/>
          <w:sz w:val="22"/>
          <w:szCs w:val="22"/>
          <w:rtl/>
        </w:rPr>
        <w:t>’</w:t>
      </w:r>
      <w:r>
        <w:rPr>
          <w:rFonts w:ascii="Times New Roman" w:hAnsi="Times New Roman"/>
          <w:sz w:val="22"/>
          <w:szCs w:val="22"/>
        </w:rPr>
        <w:t xml:space="preserve">s exclusivity to the proposed contracts in the event of approval, we are concerned that the Commission may be stymying competition by providing neither transparency nor the ability for peers to reasonably compete </w:t>
      </w:r>
      <w:r w:rsidR="007A22E1">
        <w:rPr>
          <w:rFonts w:ascii="Times New Roman" w:hAnsi="Times New Roman"/>
          <w:sz w:val="22"/>
          <w:szCs w:val="22"/>
        </w:rPr>
        <w:t>by means of</w:t>
      </w:r>
      <w:r w:rsidR="00BD01D0">
        <w:rPr>
          <w:rFonts w:ascii="Times New Roman" w:hAnsi="Times New Roman"/>
          <w:sz w:val="22"/>
          <w:szCs w:val="22"/>
        </w:rPr>
        <w:t xml:space="preserve"> other event contracts </w:t>
      </w:r>
      <w:r>
        <w:rPr>
          <w:rFonts w:ascii="Times New Roman" w:hAnsi="Times New Roman"/>
          <w:sz w:val="22"/>
          <w:szCs w:val="22"/>
        </w:rPr>
        <w:t>prior to the 2024 U</w:t>
      </w:r>
      <w:r w:rsidR="001D11C9">
        <w:rPr>
          <w:rFonts w:ascii="Times New Roman" w:hAnsi="Times New Roman"/>
          <w:sz w:val="22"/>
          <w:szCs w:val="22"/>
        </w:rPr>
        <w:t>.</w:t>
      </w:r>
      <w:r>
        <w:rPr>
          <w:rFonts w:ascii="Times New Roman" w:hAnsi="Times New Roman"/>
          <w:sz w:val="22"/>
          <w:szCs w:val="22"/>
        </w:rPr>
        <w:t>S</w:t>
      </w:r>
      <w:r w:rsidR="001D11C9">
        <w:rPr>
          <w:rFonts w:ascii="Times New Roman" w:hAnsi="Times New Roman"/>
          <w:sz w:val="22"/>
          <w:szCs w:val="22"/>
        </w:rPr>
        <w:t>.</w:t>
      </w:r>
      <w:r>
        <w:rPr>
          <w:rFonts w:ascii="Times New Roman" w:hAnsi="Times New Roman"/>
          <w:sz w:val="22"/>
          <w:szCs w:val="22"/>
        </w:rPr>
        <w:t xml:space="preserve"> election cycle.</w:t>
      </w:r>
      <w:r w:rsidR="005951F8">
        <w:rPr>
          <w:rFonts w:ascii="Times New Roman" w:hAnsi="Times New Roman"/>
          <w:sz w:val="22"/>
          <w:szCs w:val="22"/>
        </w:rPr>
        <w:t xml:space="preserve"> </w:t>
      </w:r>
      <w:r>
        <w:rPr>
          <w:rFonts w:ascii="Times New Roman" w:hAnsi="Times New Roman"/>
          <w:sz w:val="22"/>
          <w:szCs w:val="22"/>
        </w:rPr>
        <w:t xml:space="preserve"> This sentiment is reinforced by the industry</w:t>
      </w:r>
      <w:r>
        <w:rPr>
          <w:rFonts w:ascii="Times New Roman" w:hAnsi="Times New Roman"/>
          <w:sz w:val="22"/>
          <w:szCs w:val="22"/>
          <w:rtl/>
        </w:rPr>
        <w:t>’</w:t>
      </w:r>
      <w:r>
        <w:rPr>
          <w:rFonts w:ascii="Times New Roman" w:hAnsi="Times New Roman"/>
          <w:sz w:val="22"/>
          <w:szCs w:val="22"/>
        </w:rPr>
        <w:t xml:space="preserve">s </w:t>
      </w:r>
      <w:r w:rsidR="007A22E1">
        <w:rPr>
          <w:rFonts w:ascii="Times New Roman" w:hAnsi="Times New Roman"/>
          <w:sz w:val="22"/>
          <w:szCs w:val="22"/>
        </w:rPr>
        <w:t xml:space="preserve">commonly stated </w:t>
      </w:r>
      <w:r>
        <w:rPr>
          <w:rFonts w:ascii="Times New Roman" w:hAnsi="Times New Roman"/>
          <w:sz w:val="22"/>
          <w:szCs w:val="22"/>
        </w:rPr>
        <w:t xml:space="preserve">belief that Kalshi has repeatedly leveraged the Commission </w:t>
      </w:r>
      <w:r w:rsidR="007A22E1">
        <w:rPr>
          <w:rFonts w:ascii="Times New Roman" w:hAnsi="Times New Roman"/>
          <w:sz w:val="22"/>
          <w:szCs w:val="22"/>
        </w:rPr>
        <w:t>to advance</w:t>
      </w:r>
      <w:r w:rsidR="001F02D5">
        <w:rPr>
          <w:rFonts w:ascii="Times New Roman" w:hAnsi="Times New Roman"/>
          <w:sz w:val="22"/>
          <w:szCs w:val="22"/>
        </w:rPr>
        <w:t xml:space="preserve"> an</w:t>
      </w:r>
      <w:r w:rsidR="007A22E1">
        <w:rPr>
          <w:rFonts w:ascii="Times New Roman" w:hAnsi="Times New Roman"/>
          <w:sz w:val="22"/>
          <w:szCs w:val="22"/>
        </w:rPr>
        <w:t xml:space="preserve"> </w:t>
      </w:r>
      <w:r>
        <w:rPr>
          <w:rFonts w:ascii="Times New Roman" w:hAnsi="Times New Roman"/>
          <w:sz w:val="22"/>
          <w:szCs w:val="22"/>
        </w:rPr>
        <w:t xml:space="preserve">anti-competitive </w:t>
      </w:r>
      <w:r w:rsidR="007A22E1">
        <w:rPr>
          <w:rFonts w:ascii="Times New Roman" w:hAnsi="Times New Roman"/>
          <w:sz w:val="22"/>
          <w:szCs w:val="22"/>
        </w:rPr>
        <w:t xml:space="preserve">agenda </w:t>
      </w:r>
      <w:r>
        <w:rPr>
          <w:rFonts w:ascii="Times New Roman" w:hAnsi="Times New Roman"/>
          <w:sz w:val="22"/>
          <w:szCs w:val="22"/>
        </w:rPr>
        <w:t>regarding competitors Polymarket and PredictIt.</w:t>
      </w:r>
      <w:r>
        <w:rPr>
          <w:rFonts w:ascii="Times New Roman" w:eastAsia="Times New Roman" w:hAnsi="Times New Roman" w:cs="Times New Roman"/>
          <w:sz w:val="22"/>
          <w:szCs w:val="22"/>
          <w:vertAlign w:val="superscript"/>
        </w:rPr>
        <w:footnoteReference w:id="7"/>
      </w:r>
      <w:r>
        <w:rPr>
          <w:rFonts w:ascii="Times New Roman" w:hAnsi="Times New Roman"/>
          <w:sz w:val="22"/>
          <w:szCs w:val="22"/>
        </w:rPr>
        <w:t xml:space="preserve"> </w:t>
      </w:r>
      <w:r w:rsidR="005951F8">
        <w:rPr>
          <w:rFonts w:ascii="Times New Roman" w:hAnsi="Times New Roman"/>
          <w:sz w:val="22"/>
          <w:szCs w:val="22"/>
        </w:rPr>
        <w:t xml:space="preserve"> </w:t>
      </w:r>
      <w:r>
        <w:rPr>
          <w:rFonts w:ascii="Times New Roman" w:hAnsi="Times New Roman"/>
          <w:sz w:val="22"/>
          <w:szCs w:val="22"/>
        </w:rPr>
        <w:t>At best</w:t>
      </w:r>
      <w:r w:rsidR="00BD01D0">
        <w:rPr>
          <w:rFonts w:ascii="Times New Roman" w:hAnsi="Times New Roman"/>
          <w:sz w:val="22"/>
          <w:szCs w:val="22"/>
        </w:rPr>
        <w:t>,</w:t>
      </w:r>
      <w:r>
        <w:rPr>
          <w:rFonts w:ascii="Times New Roman" w:hAnsi="Times New Roman"/>
          <w:sz w:val="22"/>
          <w:szCs w:val="22"/>
        </w:rPr>
        <w:t xml:space="preserve"> this projects the appearance </w:t>
      </w:r>
      <w:r>
        <w:rPr>
          <w:rFonts w:ascii="Times New Roman" w:hAnsi="Times New Roman"/>
          <w:sz w:val="22"/>
          <w:szCs w:val="22"/>
        </w:rPr>
        <w:lastRenderedPageBreak/>
        <w:t>of impropriety unbefitting of a federal agency</w:t>
      </w:r>
      <w:r w:rsidR="00331409">
        <w:rPr>
          <w:rFonts w:ascii="Times New Roman" w:hAnsi="Times New Roman"/>
          <w:sz w:val="22"/>
          <w:szCs w:val="22"/>
        </w:rPr>
        <w:t xml:space="preserve">. </w:t>
      </w:r>
      <w:r w:rsidR="00251728">
        <w:rPr>
          <w:rFonts w:ascii="Times New Roman" w:hAnsi="Times New Roman"/>
          <w:sz w:val="22"/>
          <w:szCs w:val="22"/>
        </w:rPr>
        <w:t>At</w:t>
      </w:r>
      <w:r>
        <w:rPr>
          <w:rFonts w:ascii="Times New Roman" w:hAnsi="Times New Roman"/>
          <w:sz w:val="22"/>
          <w:szCs w:val="22"/>
        </w:rPr>
        <w:t xml:space="preserve"> worst</w:t>
      </w:r>
      <w:r w:rsidR="00251728">
        <w:rPr>
          <w:rFonts w:ascii="Times New Roman" w:hAnsi="Times New Roman"/>
          <w:sz w:val="22"/>
          <w:szCs w:val="22"/>
        </w:rPr>
        <w:t>,</w:t>
      </w:r>
      <w:r>
        <w:rPr>
          <w:rFonts w:ascii="Times New Roman" w:hAnsi="Times New Roman"/>
          <w:sz w:val="22"/>
          <w:szCs w:val="22"/>
        </w:rPr>
        <w:t xml:space="preserve"> this </w:t>
      </w:r>
      <w:r w:rsidR="007A22E1">
        <w:rPr>
          <w:rFonts w:ascii="Times New Roman" w:hAnsi="Times New Roman"/>
          <w:sz w:val="22"/>
          <w:szCs w:val="22"/>
        </w:rPr>
        <w:t xml:space="preserve">suggests </w:t>
      </w:r>
      <w:r>
        <w:rPr>
          <w:rFonts w:ascii="Times New Roman" w:hAnsi="Times New Roman"/>
          <w:sz w:val="22"/>
          <w:szCs w:val="22"/>
        </w:rPr>
        <w:t>that the Commission is picking winners and losers in highly contested verticals</w:t>
      </w:r>
      <w:r w:rsidR="00251728">
        <w:rPr>
          <w:rFonts w:ascii="Times New Roman" w:hAnsi="Times New Roman"/>
          <w:sz w:val="22"/>
          <w:szCs w:val="22"/>
        </w:rPr>
        <w:t xml:space="preserve">, or otherwise supporting </w:t>
      </w:r>
      <w:r w:rsidR="00FC1863">
        <w:rPr>
          <w:rFonts w:ascii="Times New Roman" w:hAnsi="Times New Roman"/>
          <w:sz w:val="22"/>
          <w:szCs w:val="22"/>
        </w:rPr>
        <w:t xml:space="preserve">a </w:t>
      </w:r>
      <w:r w:rsidR="00251728">
        <w:rPr>
          <w:rFonts w:ascii="Times New Roman" w:hAnsi="Times New Roman"/>
          <w:sz w:val="22"/>
          <w:szCs w:val="22"/>
        </w:rPr>
        <w:t>monopoly</w:t>
      </w:r>
      <w:r w:rsidR="00FC1863">
        <w:rPr>
          <w:rFonts w:ascii="Times New Roman" w:hAnsi="Times New Roman"/>
          <w:sz w:val="22"/>
          <w:szCs w:val="22"/>
        </w:rPr>
        <w:t xml:space="preserve"> on these contracts in the United States</w:t>
      </w:r>
      <w:r>
        <w:rPr>
          <w:rFonts w:ascii="Times New Roman" w:hAnsi="Times New Roman"/>
          <w:sz w:val="22"/>
          <w:szCs w:val="22"/>
        </w:rPr>
        <w:t>.</w:t>
      </w:r>
    </w:p>
    <w:p w14:paraId="22958209"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5CAA488B" w14:textId="77777777" w:rsidR="00581C84" w:rsidRDefault="004D36B6" w:rsidP="00581C84">
      <w:pPr>
        <w:pStyle w:val="Default"/>
        <w:spacing w:before="0" w:line="240" w:lineRule="auto"/>
        <w:jc w:val="both"/>
        <w:rPr>
          <w:rFonts w:ascii="Times New Roman" w:eastAsia="Times New Roman" w:hAnsi="Times New Roman" w:cs="Times New Roman"/>
          <w:b/>
          <w:bCs/>
          <w:sz w:val="22"/>
          <w:szCs w:val="22"/>
        </w:rPr>
      </w:pPr>
      <w:r>
        <w:rPr>
          <w:rFonts w:ascii="Times New Roman" w:hAnsi="Times New Roman"/>
          <w:b/>
          <w:bCs/>
          <w:sz w:val="22"/>
          <w:szCs w:val="22"/>
        </w:rPr>
        <w:t>On Congressional Control Contracts</w:t>
      </w:r>
    </w:p>
    <w:p w14:paraId="0BADDBF5"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27DC0937" w14:textId="65CC199A" w:rsidR="00581C84" w:rsidRDefault="004D36B6" w:rsidP="00581C84">
      <w:pPr>
        <w:pStyle w:val="Default"/>
        <w:spacing w:before="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hAnsi="Times New Roman"/>
          <w:sz w:val="22"/>
          <w:szCs w:val="22"/>
        </w:rPr>
        <w:t>To be clear, we support the notion that the proposed contracts are legally permitted under the Commodity Exchange Act (</w:t>
      </w:r>
      <w:r>
        <w:rPr>
          <w:rFonts w:ascii="Times New Roman" w:hAnsi="Times New Roman"/>
          <w:sz w:val="22"/>
          <w:szCs w:val="22"/>
          <w:rtl/>
          <w:lang w:val="ar-SA"/>
        </w:rPr>
        <w:t>“</w:t>
      </w:r>
      <w:r>
        <w:rPr>
          <w:rFonts w:ascii="Times New Roman" w:hAnsi="Times New Roman"/>
          <w:sz w:val="22"/>
          <w:szCs w:val="22"/>
        </w:rPr>
        <w:t>CEA”) and Commission regulations, as the law on this favors</w:t>
      </w:r>
      <w:r>
        <w:rPr>
          <w:rFonts w:ascii="Times New Roman" w:hAnsi="Times New Roman"/>
          <w:sz w:val="22"/>
          <w:szCs w:val="22"/>
          <w:lang w:val="it-IT"/>
        </w:rPr>
        <w:t xml:space="preserve"> approv</w:t>
      </w:r>
      <w:r>
        <w:rPr>
          <w:rFonts w:ascii="Times New Roman" w:hAnsi="Times New Roman"/>
          <w:sz w:val="22"/>
          <w:szCs w:val="22"/>
        </w:rPr>
        <w:t xml:space="preserve">al as it does for similar event contracts proposals by </w:t>
      </w:r>
      <w:r w:rsidR="00DD2F50">
        <w:rPr>
          <w:rFonts w:ascii="Times New Roman" w:hAnsi="Times New Roman"/>
          <w:sz w:val="22"/>
          <w:szCs w:val="22"/>
        </w:rPr>
        <w:t xml:space="preserve">new </w:t>
      </w:r>
      <w:r w:rsidR="00806845">
        <w:rPr>
          <w:rFonts w:ascii="Times New Roman" w:hAnsi="Times New Roman"/>
          <w:sz w:val="22"/>
          <w:szCs w:val="22"/>
        </w:rPr>
        <w:t>and/</w:t>
      </w:r>
      <w:r w:rsidR="00DD2F50">
        <w:rPr>
          <w:rFonts w:ascii="Times New Roman" w:hAnsi="Times New Roman"/>
          <w:sz w:val="22"/>
          <w:szCs w:val="22"/>
        </w:rPr>
        <w:t xml:space="preserve">or </w:t>
      </w:r>
      <w:r>
        <w:rPr>
          <w:rFonts w:ascii="Times New Roman" w:hAnsi="Times New Roman"/>
          <w:sz w:val="22"/>
          <w:szCs w:val="22"/>
        </w:rPr>
        <w:t xml:space="preserve">competing </w:t>
      </w:r>
      <w:r w:rsidR="00002EE9">
        <w:rPr>
          <w:rFonts w:ascii="Times New Roman" w:hAnsi="Times New Roman"/>
          <w:sz w:val="22"/>
          <w:szCs w:val="22"/>
        </w:rPr>
        <w:t xml:space="preserve">regulated </w:t>
      </w:r>
      <w:r>
        <w:rPr>
          <w:rFonts w:ascii="Times New Roman" w:hAnsi="Times New Roman"/>
          <w:sz w:val="22"/>
          <w:szCs w:val="22"/>
        </w:rPr>
        <w:t>exchange operators</w:t>
      </w:r>
      <w:r w:rsidR="00331409">
        <w:rPr>
          <w:rFonts w:ascii="Times New Roman" w:hAnsi="Times New Roman"/>
          <w:sz w:val="22"/>
          <w:szCs w:val="22"/>
        </w:rPr>
        <w:t>.</w:t>
      </w:r>
      <w:r w:rsidR="00EE51F7">
        <w:rPr>
          <w:rFonts w:ascii="Times New Roman" w:hAnsi="Times New Roman"/>
          <w:sz w:val="22"/>
          <w:szCs w:val="22"/>
        </w:rPr>
        <w:t xml:space="preserve">  </w:t>
      </w:r>
      <w:r w:rsidR="00DD2F50">
        <w:rPr>
          <w:rFonts w:ascii="Times New Roman" w:hAnsi="Times New Roman"/>
          <w:sz w:val="22"/>
          <w:szCs w:val="22"/>
        </w:rPr>
        <w:t xml:space="preserve">We agree with the commenters that have already </w:t>
      </w:r>
      <w:r w:rsidR="00D12CC8">
        <w:rPr>
          <w:rFonts w:ascii="Times New Roman" w:hAnsi="Times New Roman"/>
          <w:sz w:val="22"/>
          <w:szCs w:val="22"/>
        </w:rPr>
        <w:t xml:space="preserve">filed comments </w:t>
      </w:r>
      <w:r w:rsidR="00DD2F50">
        <w:rPr>
          <w:rFonts w:ascii="Times New Roman" w:hAnsi="Times New Roman"/>
          <w:sz w:val="22"/>
          <w:szCs w:val="22"/>
        </w:rPr>
        <w:t>support</w:t>
      </w:r>
      <w:r w:rsidR="00D12CC8">
        <w:rPr>
          <w:rFonts w:ascii="Times New Roman" w:hAnsi="Times New Roman"/>
          <w:sz w:val="22"/>
          <w:szCs w:val="22"/>
        </w:rPr>
        <w:t>ing</w:t>
      </w:r>
      <w:r w:rsidR="00DD2F50">
        <w:rPr>
          <w:rFonts w:ascii="Times New Roman" w:hAnsi="Times New Roman"/>
          <w:sz w:val="22"/>
          <w:szCs w:val="22"/>
        </w:rPr>
        <w:t xml:space="preserve"> these contracts from a legal and policy perspective</w:t>
      </w:r>
      <w:r w:rsidR="00331409">
        <w:rPr>
          <w:rFonts w:ascii="Times New Roman" w:hAnsi="Times New Roman"/>
          <w:sz w:val="22"/>
          <w:szCs w:val="22"/>
        </w:rPr>
        <w:t xml:space="preserve">. </w:t>
      </w:r>
      <w:r>
        <w:rPr>
          <w:rFonts w:ascii="Times New Roman" w:hAnsi="Times New Roman"/>
          <w:sz w:val="22"/>
          <w:szCs w:val="22"/>
        </w:rPr>
        <w:t xml:space="preserve">However, </w:t>
      </w:r>
      <w:r w:rsidR="00DD2F50">
        <w:rPr>
          <w:rFonts w:ascii="Times New Roman" w:hAnsi="Times New Roman"/>
          <w:sz w:val="22"/>
          <w:szCs w:val="22"/>
        </w:rPr>
        <w:t xml:space="preserve">we believe that </w:t>
      </w:r>
      <w:r>
        <w:rPr>
          <w:rFonts w:ascii="Times New Roman" w:hAnsi="Times New Roman"/>
          <w:sz w:val="22"/>
          <w:szCs w:val="22"/>
        </w:rPr>
        <w:t>the suitability of the ownership and operator in question effectively frustrates</w:t>
      </w:r>
      <w:r w:rsidR="007A22E1">
        <w:rPr>
          <w:rFonts w:ascii="Times New Roman" w:hAnsi="Times New Roman"/>
          <w:sz w:val="22"/>
          <w:szCs w:val="22"/>
        </w:rPr>
        <w:t xml:space="preserve"> </w:t>
      </w:r>
      <w:r w:rsidR="00EE51F7">
        <w:rPr>
          <w:rFonts w:ascii="Times New Roman" w:hAnsi="Times New Roman"/>
          <w:sz w:val="22"/>
          <w:szCs w:val="22"/>
        </w:rPr>
        <w:t>-</w:t>
      </w:r>
      <w:r w:rsidR="007A22E1">
        <w:rPr>
          <w:rFonts w:ascii="Times New Roman" w:hAnsi="Times New Roman"/>
          <w:sz w:val="22"/>
          <w:szCs w:val="22"/>
        </w:rPr>
        <w:t xml:space="preserve"> or should at least give pause to - </w:t>
      </w:r>
      <w:r>
        <w:rPr>
          <w:rFonts w:ascii="Times New Roman" w:hAnsi="Times New Roman"/>
          <w:sz w:val="22"/>
          <w:szCs w:val="22"/>
        </w:rPr>
        <w:t>the possibility of approval in the present case</w:t>
      </w:r>
      <w:r w:rsidR="00DD2F50">
        <w:rPr>
          <w:rFonts w:ascii="Times New Roman" w:hAnsi="Times New Roman"/>
          <w:sz w:val="22"/>
          <w:szCs w:val="22"/>
        </w:rPr>
        <w:t>, and in any event, needs to and should be considered by the Commission</w:t>
      </w:r>
      <w:r>
        <w:rPr>
          <w:rFonts w:ascii="Times New Roman" w:hAnsi="Times New Roman"/>
          <w:sz w:val="22"/>
          <w:szCs w:val="22"/>
        </w:rPr>
        <w:t>.</w:t>
      </w:r>
    </w:p>
    <w:p w14:paraId="3F5A5A33" w14:textId="77777777" w:rsidR="00581C84" w:rsidRDefault="00581C84" w:rsidP="00581C84">
      <w:pPr>
        <w:pStyle w:val="Default"/>
        <w:spacing w:before="0" w:line="240" w:lineRule="auto"/>
        <w:jc w:val="both"/>
        <w:rPr>
          <w:rFonts w:ascii="Times New Roman" w:eastAsia="Times New Roman" w:hAnsi="Times New Roman" w:cs="Times New Roman"/>
          <w:sz w:val="22"/>
          <w:szCs w:val="22"/>
        </w:rPr>
      </w:pPr>
    </w:p>
    <w:p w14:paraId="08431A7E" w14:textId="77777777" w:rsidR="00581C84" w:rsidRDefault="004D36B6" w:rsidP="00952B80">
      <w:pPr>
        <w:pStyle w:val="Default"/>
        <w:spacing w:before="0" w:line="240" w:lineRule="auto"/>
        <w:ind w:firstLine="720"/>
        <w:jc w:val="both"/>
      </w:pPr>
      <w:r>
        <w:rPr>
          <w:rFonts w:ascii="Times New Roman" w:hAnsi="Times New Roman"/>
          <w:sz w:val="22"/>
          <w:szCs w:val="22"/>
        </w:rPr>
        <w:t xml:space="preserve">We look forward to engaging more directly with </w:t>
      </w:r>
      <w:r w:rsidR="00BD01D0">
        <w:rPr>
          <w:rFonts w:ascii="Times New Roman" w:hAnsi="Times New Roman"/>
          <w:sz w:val="22"/>
          <w:szCs w:val="22"/>
        </w:rPr>
        <w:t xml:space="preserve">the </w:t>
      </w:r>
      <w:r>
        <w:rPr>
          <w:rFonts w:ascii="Times New Roman" w:hAnsi="Times New Roman"/>
          <w:sz w:val="22"/>
          <w:szCs w:val="22"/>
          <w:lang w:val="fr-FR"/>
        </w:rPr>
        <w:t xml:space="preserve">Commission </w:t>
      </w:r>
      <w:r w:rsidR="00BD01D0">
        <w:rPr>
          <w:rFonts w:ascii="Times New Roman" w:hAnsi="Times New Roman"/>
          <w:sz w:val="22"/>
          <w:szCs w:val="22"/>
          <w:lang w:val="fr-FR"/>
        </w:rPr>
        <w:t xml:space="preserve">and Commission </w:t>
      </w:r>
      <w:r>
        <w:rPr>
          <w:rFonts w:ascii="Times New Roman" w:hAnsi="Times New Roman"/>
          <w:sz w:val="22"/>
          <w:szCs w:val="22"/>
        </w:rPr>
        <w:t>staff on this matter in the coming weeks and working together on attaining appropriate transparency on its resolution.</w:t>
      </w:r>
    </w:p>
    <w:p w14:paraId="111C249C" w14:textId="77777777" w:rsidR="00E77D00" w:rsidRDefault="004D36B6" w:rsidP="004001B0">
      <w:pPr>
        <w:pStyle w:val="Closing"/>
        <w:spacing w:before="240"/>
        <w:rPr>
          <w:sz w:val="22"/>
          <w:szCs w:val="22"/>
        </w:rPr>
      </w:pPr>
      <w:r w:rsidRPr="00952B80">
        <w:rPr>
          <w:sz w:val="22"/>
          <w:szCs w:val="22"/>
        </w:rPr>
        <w:t>Sincerely</w:t>
      </w:r>
      <w:r w:rsidR="00BD01D0" w:rsidRPr="00952B80">
        <w:rPr>
          <w:sz w:val="22"/>
          <w:szCs w:val="22"/>
        </w:rPr>
        <w:t>,</w:t>
      </w:r>
    </w:p>
    <w:p w14:paraId="1E670A6A" w14:textId="77777777" w:rsidR="004001B0" w:rsidRDefault="004001B0" w:rsidP="00E77D00">
      <w:pPr>
        <w:pStyle w:val="Closing"/>
        <w:rPr>
          <w:sz w:val="22"/>
          <w:szCs w:val="22"/>
        </w:rPr>
      </w:pPr>
      <w:r>
        <w:rPr>
          <w:noProof/>
          <w:sz w:val="22"/>
          <w:szCs w:val="22"/>
        </w:rPr>
        <w:drawing>
          <wp:inline distT="0" distB="0" distL="0" distR="0" wp14:anchorId="5893E4D4" wp14:editId="406F7CD4">
            <wp:extent cx="2682240" cy="459477"/>
            <wp:effectExtent l="0" t="0" r="3810" b="0"/>
            <wp:docPr id="1" name="Picture 1" descr="A close-up of a pair of sciss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air of scissors&#10;&#10;Description automatically generated"/>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9102" t="33375" r="3333" b="6547"/>
                    <a:stretch/>
                  </pic:blipFill>
                  <pic:spPr bwMode="auto">
                    <a:xfrm>
                      <a:off x="0" y="0"/>
                      <a:ext cx="2726472" cy="467054"/>
                    </a:xfrm>
                    <a:prstGeom prst="rect">
                      <a:avLst/>
                    </a:prstGeom>
                    <a:ln>
                      <a:noFill/>
                    </a:ln>
                    <a:extLst>
                      <a:ext uri="{53640926-AAD7-44D8-BBD7-CCE9431645EC}">
                        <a14:shadowObscured xmlns:a14="http://schemas.microsoft.com/office/drawing/2010/main"/>
                      </a:ext>
                    </a:extLst>
                  </pic:spPr>
                </pic:pic>
              </a:graphicData>
            </a:graphic>
          </wp:inline>
        </w:drawing>
      </w:r>
    </w:p>
    <w:p w14:paraId="7FB5223A" w14:textId="337EB15D" w:rsidR="00E77D00" w:rsidRDefault="004D36B6" w:rsidP="00E77D00">
      <w:pPr>
        <w:pStyle w:val="Closing"/>
        <w:rPr>
          <w:sz w:val="22"/>
          <w:szCs w:val="22"/>
        </w:rPr>
      </w:pPr>
      <w:r w:rsidRPr="00992EC8">
        <w:rPr>
          <w:sz w:val="22"/>
          <w:szCs w:val="22"/>
        </w:rPr>
        <w:t>Maggie Sklar</w:t>
      </w:r>
    </w:p>
    <w:p w14:paraId="62EEF5B1" w14:textId="77777777" w:rsidR="00E77D00" w:rsidRDefault="004D36B6" w:rsidP="00E77D00">
      <w:pPr>
        <w:pStyle w:val="Closing"/>
        <w:spacing w:after="0"/>
        <w:rPr>
          <w:sz w:val="22"/>
          <w:szCs w:val="22"/>
        </w:rPr>
      </w:pPr>
      <w:r w:rsidRPr="00992EC8">
        <w:rPr>
          <w:sz w:val="22"/>
          <w:szCs w:val="22"/>
        </w:rPr>
        <w:t>Partner, Banking and Financial Services</w:t>
      </w:r>
    </w:p>
    <w:p w14:paraId="0454736D" w14:textId="77777777" w:rsidR="000D4F87" w:rsidRDefault="004D36B6" w:rsidP="00E77D00">
      <w:pPr>
        <w:pStyle w:val="Closing"/>
        <w:spacing w:after="0"/>
        <w:rPr>
          <w:sz w:val="22"/>
          <w:szCs w:val="22"/>
        </w:rPr>
      </w:pPr>
      <w:r w:rsidRPr="00992EC8">
        <w:rPr>
          <w:sz w:val="22"/>
          <w:szCs w:val="22"/>
        </w:rPr>
        <w:t>Davis Wright Tremaine LLP</w:t>
      </w:r>
    </w:p>
    <w:p w14:paraId="36DCD432" w14:textId="77777777" w:rsidR="00BD01D0" w:rsidRDefault="004D36B6" w:rsidP="00E77D00">
      <w:pPr>
        <w:pStyle w:val="Closing"/>
        <w:spacing w:after="0"/>
        <w:rPr>
          <w:sz w:val="22"/>
          <w:szCs w:val="22"/>
        </w:rPr>
      </w:pPr>
      <w:r>
        <w:rPr>
          <w:sz w:val="22"/>
          <w:szCs w:val="22"/>
        </w:rPr>
        <w:t>300 N</w:t>
      </w:r>
      <w:r w:rsidR="00525453">
        <w:rPr>
          <w:sz w:val="22"/>
          <w:szCs w:val="22"/>
        </w:rPr>
        <w:t>orth</w:t>
      </w:r>
      <w:r>
        <w:rPr>
          <w:sz w:val="22"/>
          <w:szCs w:val="22"/>
        </w:rPr>
        <w:t xml:space="preserve"> LaSalle Street</w:t>
      </w:r>
    </w:p>
    <w:p w14:paraId="50C55376" w14:textId="77777777" w:rsidR="00BD01D0" w:rsidRDefault="004D36B6" w:rsidP="00E77D00">
      <w:pPr>
        <w:pStyle w:val="Closing"/>
        <w:spacing w:after="0"/>
        <w:rPr>
          <w:sz w:val="22"/>
          <w:szCs w:val="22"/>
        </w:rPr>
      </w:pPr>
      <w:r>
        <w:rPr>
          <w:sz w:val="22"/>
          <w:szCs w:val="22"/>
        </w:rPr>
        <w:t xml:space="preserve">Chicago, Illinois </w:t>
      </w:r>
      <w:r w:rsidR="00986692">
        <w:rPr>
          <w:sz w:val="22"/>
          <w:szCs w:val="22"/>
        </w:rPr>
        <w:t>60654</w:t>
      </w:r>
    </w:p>
    <w:p w14:paraId="1E78EA73" w14:textId="1014B8CB" w:rsidR="003764B6" w:rsidRPr="004001B0" w:rsidRDefault="00000000" w:rsidP="004001B0">
      <w:pPr>
        <w:pStyle w:val="Closing"/>
        <w:spacing w:after="0"/>
        <w:rPr>
          <w:sz w:val="22"/>
          <w:szCs w:val="22"/>
        </w:rPr>
      </w:pPr>
      <w:hyperlink r:id="rId10" w:history="1">
        <w:r w:rsidR="00DD2F50" w:rsidRPr="00BD0FC7">
          <w:rPr>
            <w:rStyle w:val="Hyperlink"/>
            <w:sz w:val="22"/>
            <w:szCs w:val="22"/>
          </w:rPr>
          <w:t>maggiesklar@dwt.com</w:t>
        </w:r>
      </w:hyperlink>
      <w:r w:rsidR="00DD2F50">
        <w:rPr>
          <w:sz w:val="22"/>
          <w:szCs w:val="22"/>
        </w:rPr>
        <w:t xml:space="preserve"> </w:t>
      </w:r>
      <w:bookmarkStart w:id="0" w:name="FromInBody"/>
      <w:bookmarkStart w:id="1" w:name="Initials"/>
      <w:bookmarkStart w:id="2" w:name="Enclosure"/>
      <w:bookmarkStart w:id="3" w:name="CC"/>
      <w:bookmarkStart w:id="4" w:name="BCC"/>
      <w:bookmarkEnd w:id="0"/>
      <w:bookmarkEnd w:id="1"/>
      <w:bookmarkEnd w:id="2"/>
      <w:bookmarkEnd w:id="3"/>
      <w:bookmarkEnd w:id="4"/>
    </w:p>
    <w:sectPr w:rsidR="003764B6" w:rsidRPr="004001B0" w:rsidSect="003764B6">
      <w:headerReference w:type="default" r:id="rId11"/>
      <w:headerReference w:type="first" r:id="rId12"/>
      <w:footerReference w:type="first" r:id="rId13"/>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40F6" w14:textId="77777777" w:rsidR="006556E3" w:rsidRDefault="006556E3">
      <w:r>
        <w:separator/>
      </w:r>
    </w:p>
  </w:endnote>
  <w:endnote w:type="continuationSeparator" w:id="0">
    <w:p w14:paraId="6432E3AF" w14:textId="77777777" w:rsidR="006556E3" w:rsidRDefault="0065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CE7B" w14:textId="77777777" w:rsidR="00DB1121" w:rsidRDefault="00DB1121">
    <w:pPr>
      <w:pStyle w:val="Footer"/>
    </w:pPr>
  </w:p>
  <w:p w14:paraId="2329183B" w14:textId="77777777" w:rsidR="000D4F87" w:rsidRDefault="004D36B6">
    <w:pPr>
      <w:pStyle w:val="Footer"/>
    </w:pPr>
    <w:r>
      <w:drawing>
        <wp:inline distT="0" distB="0" distL="0" distR="0" wp14:anchorId="0EA42050" wp14:editId="49784BBE">
          <wp:extent cx="2543175" cy="516255"/>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543175" cy="516255"/>
                  </a:xfrm>
                  <a:prstGeom prst="rect">
                    <a:avLst/>
                  </a:prstGeom>
                </pic:spPr>
              </pic:pic>
            </a:graphicData>
          </a:graphic>
        </wp:inline>
      </w:drawing>
    </w:r>
    <w:r w:rsidR="00322F0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2CA1" w14:textId="77777777" w:rsidR="006556E3" w:rsidRDefault="006556E3">
      <w:r>
        <w:separator/>
      </w:r>
    </w:p>
  </w:footnote>
  <w:footnote w:type="continuationSeparator" w:id="0">
    <w:p w14:paraId="0DDA47A2" w14:textId="77777777" w:rsidR="006556E3" w:rsidRDefault="006556E3">
      <w:r>
        <w:separator/>
      </w:r>
    </w:p>
  </w:footnote>
  <w:footnote w:id="1">
    <w:p w14:paraId="26FE9815" w14:textId="77777777" w:rsidR="00286CA3" w:rsidRDefault="004D36B6" w:rsidP="00331409">
      <w:pPr>
        <w:pStyle w:val="Footnote"/>
        <w:rPr>
          <w:rFonts w:ascii="Times New Roman" w:hAnsi="Times New Roman"/>
        </w:rPr>
      </w:pPr>
      <w:r>
        <w:rPr>
          <w:vertAlign w:val="superscript"/>
        </w:rPr>
        <w:footnoteRef/>
      </w:r>
      <w:r>
        <w:rPr>
          <w:rFonts w:eastAsia="Arial Unicode MS" w:cs="Arial Unicode MS"/>
        </w:rPr>
        <w:t xml:space="preserve"> </w:t>
      </w:r>
      <w:r>
        <w:rPr>
          <w:rFonts w:ascii="Times New Roman" w:hAnsi="Times New Roman"/>
        </w:rPr>
        <w:t xml:space="preserve">CFTC, Release No. 8728-23, </w:t>
      </w:r>
      <w:r>
        <w:rPr>
          <w:rFonts w:ascii="Times New Roman" w:hAnsi="Times New Roman"/>
          <w:i/>
          <w:iCs/>
        </w:rPr>
        <w:t>CFTC Announces Review of Kalshi Congressional Control Contracts and Public Comment Period</w:t>
      </w:r>
      <w:r>
        <w:rPr>
          <w:rFonts w:ascii="Times New Roman" w:hAnsi="Times New Roman"/>
        </w:rPr>
        <w:t xml:space="preserve">, Jun. 23, 2023, avail. at </w:t>
      </w:r>
      <w:hyperlink r:id="rId1" w:history="1">
        <w:r w:rsidR="00286CA3" w:rsidRPr="00BD0FC7">
          <w:rPr>
            <w:rStyle w:val="Hyperlink"/>
            <w:rFonts w:ascii="Times New Roman" w:hAnsi="Times New Roman"/>
          </w:rPr>
          <w:t>https://www.cftc.gov/PressRoom/PressReleases/8728-23</w:t>
        </w:r>
      </w:hyperlink>
      <w:r>
        <w:rPr>
          <w:rFonts w:ascii="Times New Roman" w:hAnsi="Times New Roman"/>
        </w:rPr>
        <w:t>.</w:t>
      </w:r>
    </w:p>
    <w:p w14:paraId="101D323A" w14:textId="77777777" w:rsidR="008F1317" w:rsidRPr="008F1317" w:rsidRDefault="008F1317" w:rsidP="00581C84">
      <w:pPr>
        <w:pStyle w:val="Footnote"/>
        <w:rPr>
          <w:rFonts w:ascii="Times New Roman" w:hAnsi="Times New Roman"/>
        </w:rPr>
      </w:pPr>
    </w:p>
  </w:footnote>
  <w:footnote w:id="2">
    <w:p w14:paraId="4B1C9151" w14:textId="480CFCAC" w:rsidR="00286CA3" w:rsidRDefault="004D36B6" w:rsidP="004001B0">
      <w:pPr>
        <w:pStyle w:val="FootnoteText"/>
        <w:jc w:val="both"/>
      </w:pPr>
      <w:r>
        <w:rPr>
          <w:rStyle w:val="FootnoteReference"/>
        </w:rPr>
        <w:footnoteRef/>
      </w:r>
      <w:r>
        <w:t xml:space="preserve"> </w:t>
      </w:r>
      <w:r w:rsidRPr="008D5AE7">
        <w:rPr>
          <w:sz w:val="22"/>
          <w:szCs w:val="22"/>
        </w:rPr>
        <w:t xml:space="preserve">We note that the above concern about beneficial ownership may not have been reviewed or </w:t>
      </w:r>
      <w:r>
        <w:rPr>
          <w:sz w:val="22"/>
          <w:szCs w:val="22"/>
        </w:rPr>
        <w:t xml:space="preserve">may not be </w:t>
      </w:r>
      <w:r w:rsidRPr="008D5AE7">
        <w:rPr>
          <w:sz w:val="22"/>
          <w:szCs w:val="22"/>
        </w:rPr>
        <w:t>known to the Commission through the Division of Market Oversight’s rule enforcement review (“RER”)</w:t>
      </w:r>
      <w:r w:rsidR="00800FDD">
        <w:rPr>
          <w:sz w:val="22"/>
          <w:szCs w:val="22"/>
        </w:rPr>
        <w:t xml:space="preserve"> process for registered exchanges</w:t>
      </w:r>
      <w:r w:rsidR="00331409" w:rsidRPr="008D5AE7">
        <w:rPr>
          <w:sz w:val="22"/>
          <w:szCs w:val="22"/>
        </w:rPr>
        <w:t xml:space="preserve">. </w:t>
      </w:r>
      <w:r w:rsidRPr="008D5AE7">
        <w:rPr>
          <w:sz w:val="22"/>
          <w:szCs w:val="22"/>
        </w:rPr>
        <w:t xml:space="preserve">RERs are also no longer publicly available, </w:t>
      </w:r>
      <w:r>
        <w:rPr>
          <w:sz w:val="22"/>
          <w:szCs w:val="22"/>
        </w:rPr>
        <w:t>s</w:t>
      </w:r>
      <w:r w:rsidRPr="008D5AE7">
        <w:rPr>
          <w:sz w:val="22"/>
          <w:szCs w:val="22"/>
        </w:rPr>
        <w:t xml:space="preserve">o the public would </w:t>
      </w:r>
      <w:r>
        <w:rPr>
          <w:sz w:val="22"/>
          <w:szCs w:val="22"/>
        </w:rPr>
        <w:t xml:space="preserve">also </w:t>
      </w:r>
      <w:r w:rsidRPr="008D5AE7">
        <w:rPr>
          <w:sz w:val="22"/>
          <w:szCs w:val="22"/>
        </w:rPr>
        <w:t>not know either way whether beneficial ownership was addressed and</w:t>
      </w:r>
      <w:r>
        <w:rPr>
          <w:sz w:val="22"/>
          <w:szCs w:val="22"/>
        </w:rPr>
        <w:t>/or</w:t>
      </w:r>
      <w:r w:rsidRPr="008D5AE7">
        <w:rPr>
          <w:sz w:val="22"/>
          <w:szCs w:val="22"/>
        </w:rPr>
        <w:t xml:space="preserve"> found to be a concern</w:t>
      </w:r>
      <w:r w:rsidR="00331409" w:rsidRPr="008D5AE7">
        <w:rPr>
          <w:sz w:val="22"/>
          <w:szCs w:val="22"/>
        </w:rPr>
        <w:t>.</w:t>
      </w:r>
    </w:p>
  </w:footnote>
  <w:footnote w:id="3">
    <w:p w14:paraId="21FFBDC0" w14:textId="77777777" w:rsidR="00581C84" w:rsidRDefault="004D36B6" w:rsidP="00581C84">
      <w:pPr>
        <w:pStyle w:val="Footnote"/>
        <w:rPr>
          <w:rFonts w:ascii="Times New Roman" w:hAnsi="Times New Roman"/>
        </w:rPr>
      </w:pPr>
      <w:r>
        <w:rPr>
          <w:vertAlign w:val="superscript"/>
        </w:rPr>
        <w:footnoteRef/>
      </w:r>
      <w:r>
        <w:rPr>
          <w:rFonts w:eastAsia="Arial Unicode MS" w:cs="Arial Unicode MS"/>
        </w:rPr>
        <w:t xml:space="preserve"> </w:t>
      </w:r>
      <w:r>
        <w:rPr>
          <w:rFonts w:ascii="Times New Roman" w:hAnsi="Times New Roman"/>
        </w:rPr>
        <w:t>17 CFR § 38.150(b).</w:t>
      </w:r>
    </w:p>
    <w:p w14:paraId="6B1F22BF" w14:textId="77777777" w:rsidR="008F1317" w:rsidRDefault="008F1317" w:rsidP="00581C84">
      <w:pPr>
        <w:pStyle w:val="Footnote"/>
      </w:pPr>
    </w:p>
  </w:footnote>
  <w:footnote w:id="4">
    <w:p w14:paraId="2484FBD7" w14:textId="77777777" w:rsidR="00581C84" w:rsidRDefault="004D36B6" w:rsidP="004001B0">
      <w:pPr>
        <w:pStyle w:val="Footnote"/>
        <w:jc w:val="both"/>
      </w:pPr>
      <w:r>
        <w:rPr>
          <w:vertAlign w:val="superscript"/>
        </w:rPr>
        <w:footnoteRef/>
      </w:r>
      <w:r>
        <w:rPr>
          <w:rFonts w:eastAsia="Arial Unicode MS" w:cs="Arial Unicode MS"/>
        </w:rPr>
        <w:t xml:space="preserve"> </w:t>
      </w:r>
      <w:r>
        <w:rPr>
          <w:rFonts w:ascii="Times New Roman" w:hAnsi="Times New Roman"/>
          <w:i/>
          <w:iCs/>
        </w:rPr>
        <w:t>See</w:t>
      </w:r>
      <w:r>
        <w:rPr>
          <w:rFonts w:ascii="Times New Roman" w:hAnsi="Times New Roman"/>
        </w:rPr>
        <w:t xml:space="preserve"> https://www.sanabil.com/en/home; </w:t>
      </w:r>
      <w:r>
        <w:rPr>
          <w:rFonts w:ascii="Times New Roman" w:hAnsi="Times New Roman"/>
          <w:i/>
          <w:iCs/>
        </w:rPr>
        <w:t>see also</w:t>
      </w:r>
      <w:r>
        <w:rPr>
          <w:rFonts w:ascii="Times New Roman" w:hAnsi="Times New Roman"/>
        </w:rPr>
        <w:t xml:space="preserve"> https://www.axios.com/2023/04/04/saudi-arabias-sovereign-wealth-fund-vc-pe-portfolio (highlighting the scope of investment activity as well as the level of investor turnover in the months since disclosure).</w:t>
      </w:r>
    </w:p>
  </w:footnote>
  <w:footnote w:id="5">
    <w:p w14:paraId="1CBE23BA" w14:textId="77777777" w:rsidR="008F1317" w:rsidRDefault="008F1317" w:rsidP="004001B0">
      <w:pPr>
        <w:pStyle w:val="FootnoteText"/>
        <w:jc w:val="both"/>
      </w:pPr>
    </w:p>
    <w:p w14:paraId="456D4806" w14:textId="77777777" w:rsidR="001D11C9" w:rsidRDefault="004D36B6" w:rsidP="004001B0">
      <w:pPr>
        <w:pStyle w:val="FootnoteText"/>
        <w:jc w:val="both"/>
      </w:pPr>
      <w:r>
        <w:rPr>
          <w:rStyle w:val="FootnoteReference"/>
        </w:rPr>
        <w:footnoteRef/>
      </w:r>
      <w:r>
        <w:t xml:space="preserve"> </w:t>
      </w:r>
      <w:r w:rsidRPr="00952B80">
        <w:rPr>
          <w:sz w:val="22"/>
          <w:szCs w:val="22"/>
        </w:rPr>
        <w:t>For example, CFTC Chair Behnam was questioned about whether foreign entities could buy FTX’s CFTC</w:t>
      </w:r>
      <w:r>
        <w:rPr>
          <w:sz w:val="22"/>
          <w:szCs w:val="22"/>
        </w:rPr>
        <w:t xml:space="preserve"> </w:t>
      </w:r>
      <w:r w:rsidRPr="00952B80">
        <w:rPr>
          <w:sz w:val="22"/>
          <w:szCs w:val="22"/>
        </w:rPr>
        <w:t>registration</w:t>
      </w:r>
      <w:r w:rsidR="00495C1F">
        <w:rPr>
          <w:sz w:val="22"/>
          <w:szCs w:val="22"/>
        </w:rPr>
        <w:t xml:space="preserve"> in the bankruptcy proceeding</w:t>
      </w:r>
      <w:r w:rsidRPr="00952B80">
        <w:rPr>
          <w:sz w:val="22"/>
          <w:szCs w:val="22"/>
        </w:rPr>
        <w:t xml:space="preserve">, and SEC Chair Gensler has been asked about </w:t>
      </w:r>
      <w:r w:rsidR="00495C1F">
        <w:rPr>
          <w:sz w:val="22"/>
          <w:szCs w:val="22"/>
        </w:rPr>
        <w:t xml:space="preserve">the extent of </w:t>
      </w:r>
      <w:r w:rsidRPr="00952B80">
        <w:rPr>
          <w:sz w:val="22"/>
          <w:szCs w:val="22"/>
        </w:rPr>
        <w:t>Chinese investment in Prometheum</w:t>
      </w:r>
      <w:r w:rsidR="00495C1F">
        <w:rPr>
          <w:sz w:val="22"/>
          <w:szCs w:val="22"/>
        </w:rPr>
        <w:t>, the novel and first SEC-registered digital assets broker dealer</w:t>
      </w:r>
      <w:r w:rsidRPr="00952B80">
        <w:rPr>
          <w:sz w:val="22"/>
          <w:szCs w:val="22"/>
        </w:rPr>
        <w:t>.</w:t>
      </w:r>
      <w:r>
        <w:t xml:space="preserve"> </w:t>
      </w:r>
    </w:p>
  </w:footnote>
  <w:footnote w:id="6">
    <w:p w14:paraId="0C70E387" w14:textId="77777777" w:rsidR="008F1317" w:rsidRDefault="008F1317" w:rsidP="004001B0">
      <w:pPr>
        <w:pStyle w:val="Footnote"/>
        <w:jc w:val="both"/>
        <w:rPr>
          <w:rFonts w:eastAsia="Arial Unicode MS" w:cs="Arial Unicode MS"/>
        </w:rPr>
      </w:pPr>
    </w:p>
    <w:p w14:paraId="61D5613F" w14:textId="77777777" w:rsidR="00581C84" w:rsidRDefault="004D36B6" w:rsidP="004001B0">
      <w:pPr>
        <w:pStyle w:val="Footnote"/>
        <w:jc w:val="both"/>
        <w:rPr>
          <w:rFonts w:ascii="Times New Roman" w:hAnsi="Times New Roman"/>
        </w:rPr>
      </w:pPr>
      <w:r>
        <w:rPr>
          <w:vertAlign w:val="superscript"/>
        </w:rPr>
        <w:footnoteRef/>
      </w:r>
      <w:r>
        <w:rPr>
          <w:rFonts w:eastAsia="Arial Unicode MS" w:cs="Arial Unicode MS"/>
        </w:rPr>
        <w:t xml:space="preserve"> </w:t>
      </w:r>
      <w:r>
        <w:rPr>
          <w:rFonts w:ascii="Times New Roman" w:hAnsi="Times New Roman"/>
          <w:i/>
          <w:iCs/>
        </w:rPr>
        <w:t>See</w:t>
      </w:r>
      <w:r>
        <w:rPr>
          <w:rFonts w:ascii="Times New Roman" w:hAnsi="Times New Roman"/>
        </w:rPr>
        <w:t xml:space="preserve"> https://www.wsj.com/articles/liv-golf-pga-tour-lawsuit-saudi-arabia-sovereign-immunity-a8a76b10 (discussing how </w:t>
      </w:r>
      <w:r>
        <w:rPr>
          <w:rFonts w:ascii="Times New Roman" w:hAnsi="Times New Roman"/>
          <w:lang w:val="it-IT"/>
        </w:rPr>
        <w:t>Saudi Arabia</w:t>
      </w:r>
      <w:r>
        <w:rPr>
          <w:rFonts w:ascii="Times New Roman" w:hAnsi="Times New Roman"/>
          <w:rtl/>
        </w:rPr>
        <w:t>’</w:t>
      </w:r>
      <w:r>
        <w:rPr>
          <w:rFonts w:ascii="Times New Roman" w:hAnsi="Times New Roman"/>
        </w:rPr>
        <w:t>s Public Investment Fund has already attempted to leverage sovereign immunity in similar</w:t>
      </w:r>
      <w:r>
        <w:rPr>
          <w:rFonts w:ascii="Times New Roman" w:hAnsi="Times New Roman"/>
          <w:lang w:val="pt-PT"/>
        </w:rPr>
        <w:t xml:space="preserve"> legal </w:t>
      </w:r>
      <w:r>
        <w:rPr>
          <w:rFonts w:ascii="Times New Roman" w:hAnsi="Times New Roman"/>
        </w:rPr>
        <w:t>challenges).</w:t>
      </w:r>
    </w:p>
    <w:p w14:paraId="52758535" w14:textId="77777777" w:rsidR="00B800A5" w:rsidRDefault="00B800A5" w:rsidP="004001B0">
      <w:pPr>
        <w:pStyle w:val="Footnote"/>
        <w:jc w:val="both"/>
      </w:pPr>
    </w:p>
  </w:footnote>
  <w:footnote w:id="7">
    <w:p w14:paraId="5200985C" w14:textId="17B9AB05" w:rsidR="00581C84" w:rsidRDefault="004D36B6" w:rsidP="004001B0">
      <w:pPr>
        <w:pStyle w:val="Footnote"/>
        <w:jc w:val="both"/>
      </w:pPr>
      <w:r>
        <w:rPr>
          <w:vertAlign w:val="superscript"/>
        </w:rPr>
        <w:footnoteRef/>
      </w:r>
      <w:r>
        <w:rPr>
          <w:rFonts w:eastAsia="Arial Unicode MS" w:cs="Arial Unicode MS"/>
        </w:rPr>
        <w:t xml:space="preserve"> </w:t>
      </w:r>
      <w:r>
        <w:rPr>
          <w:rFonts w:ascii="Times New Roman" w:hAnsi="Times New Roman"/>
          <w:i/>
          <w:iCs/>
        </w:rPr>
        <w:t xml:space="preserve">Did Kalshi Kill </w:t>
      </w:r>
      <w:r w:rsidR="004001B0">
        <w:rPr>
          <w:rFonts w:ascii="Times New Roman" w:hAnsi="Times New Roman"/>
          <w:i/>
          <w:iCs/>
        </w:rPr>
        <w:t>PredictIt</w:t>
      </w:r>
      <w:r>
        <w:rPr>
          <w:rFonts w:ascii="Times New Roman" w:hAnsi="Times New Roman"/>
          <w:i/>
          <w:iCs/>
        </w:rPr>
        <w:t>? Friday</w:t>
      </w:r>
      <w:r>
        <w:rPr>
          <w:rFonts w:ascii="Times New Roman" w:hAnsi="Times New Roman"/>
          <w:i/>
          <w:iCs/>
          <w:rtl/>
        </w:rPr>
        <w:t>’</w:t>
      </w:r>
      <w:r>
        <w:rPr>
          <w:rFonts w:ascii="Times New Roman" w:hAnsi="Times New Roman"/>
          <w:i/>
          <w:iCs/>
        </w:rPr>
        <w:t>s Decision On Election Wagering Will Be Revealing</w:t>
      </w:r>
      <w:r>
        <w:rPr>
          <w:rFonts w:ascii="Times New Roman" w:hAnsi="Times New Roman"/>
        </w:rPr>
        <w:t>, Jun. 23, 2023, avail. at https://www.usbets.com/did-kalshi-kill-predictit.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ToInHeader"/>
  <w:bookmarkEnd w:id="5"/>
  <w:p w14:paraId="000DBB86" w14:textId="77777777" w:rsidR="000D4F87" w:rsidRDefault="004D36B6" w:rsidP="001D0108">
    <w:pPr>
      <w:pStyle w:val="Date"/>
      <w:spacing w:after="0"/>
    </w:pPr>
    <w:r>
      <w:fldChar w:fldCharType="begin"/>
    </w:r>
    <w:r>
      <w:instrText xml:space="preserve"> CREATEDATE \@ "MMMM d, yyyy" </w:instrText>
    </w:r>
    <w:r>
      <w:fldChar w:fldCharType="separate"/>
    </w:r>
    <w:r w:rsidR="00581C84">
      <w:rPr>
        <w:noProof/>
      </w:rPr>
      <w:t>July 24, 2023</w:t>
    </w:r>
    <w:r>
      <w:fldChar w:fldCharType="end"/>
    </w:r>
  </w:p>
  <w:p w14:paraId="469F7362" w14:textId="77777777" w:rsidR="00331409" w:rsidRDefault="00331409" w:rsidP="00331409">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Christopher Kirkpatrick, Secretary</w:t>
    </w:r>
  </w:p>
  <w:p w14:paraId="6E1A4A85" w14:textId="77777777" w:rsidR="00331409" w:rsidRDefault="00331409" w:rsidP="00331409">
    <w:pPr>
      <w:pStyle w:val="Default"/>
      <w:spacing w:before="0" w:line="240" w:lineRule="auto"/>
      <w:rPr>
        <w:rFonts w:ascii="Times New Roman" w:eastAsia="Times New Roman" w:hAnsi="Times New Roman" w:cs="Times New Roman"/>
        <w:sz w:val="22"/>
        <w:szCs w:val="22"/>
      </w:rPr>
    </w:pPr>
    <w:r>
      <w:rPr>
        <w:rFonts w:ascii="Times New Roman" w:hAnsi="Times New Roman"/>
        <w:sz w:val="22"/>
        <w:szCs w:val="22"/>
      </w:rPr>
      <w:t>U.S. Commodity Futures Trading Commission</w:t>
    </w:r>
  </w:p>
  <w:p w14:paraId="29DFAEB1" w14:textId="77777777" w:rsidR="000D4F87" w:rsidRDefault="004D36B6" w:rsidP="001D0108">
    <w:pPr>
      <w:pStyle w:val="Header"/>
      <w:tabs>
        <w:tab w:val="clear" w:pos="4320"/>
        <w:tab w:val="clear" w:pos="864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C5150">
      <w:rPr>
        <w:rStyle w:val="PageNumber"/>
        <w:noProof/>
      </w:rPr>
      <w:t>2</w:t>
    </w:r>
    <w:r>
      <w:rPr>
        <w:rStyle w:val="PageNumber"/>
      </w:rPr>
      <w:fldChar w:fldCharType="end"/>
    </w:r>
  </w:p>
  <w:p w14:paraId="22773346" w14:textId="77777777" w:rsidR="000D4F87" w:rsidRDefault="000D4F8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948"/>
      <w:gridCol w:w="2430"/>
    </w:tblGrid>
    <w:tr w:rsidR="002324D0" w14:paraId="06FA3E27" w14:textId="77777777">
      <w:trPr>
        <w:trHeight w:val="2304"/>
      </w:trPr>
      <w:tc>
        <w:tcPr>
          <w:tcW w:w="6948" w:type="dxa"/>
        </w:tcPr>
        <w:p w14:paraId="04BA25C3" w14:textId="77777777" w:rsidR="000D4F87" w:rsidRDefault="004D36B6">
          <w:pPr>
            <w:pStyle w:val="Header"/>
          </w:pPr>
          <w:bookmarkStart w:id="6" w:name="OLE_LINK1"/>
          <w:bookmarkStart w:id="7" w:name="OLE_LINK2"/>
          <w:r>
            <w:rPr>
              <w:noProof/>
            </w:rPr>
            <w:drawing>
              <wp:inline distT="0" distB="0" distL="0" distR="0" wp14:anchorId="013B3344" wp14:editId="572A58F9">
                <wp:extent cx="1828800" cy="41134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WT_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11341"/>
                        </a:xfrm>
                        <a:prstGeom prst="rect">
                          <a:avLst/>
                        </a:prstGeom>
                      </pic:spPr>
                    </pic:pic>
                  </a:graphicData>
                </a:graphic>
              </wp:inline>
            </w:drawing>
          </w:r>
        </w:p>
      </w:tc>
      <w:tc>
        <w:tcPr>
          <w:tcW w:w="2430" w:type="dxa"/>
        </w:tcPr>
        <w:p w14:paraId="74476182" w14:textId="77777777" w:rsidR="00581C84" w:rsidRDefault="004D36B6">
          <w:pPr>
            <w:pStyle w:val="Ltrhead"/>
            <w:rPr>
              <w:rFonts w:cs="Arial"/>
              <w:color w:val="000000" w:themeColor="text1"/>
              <w:szCs w:val="16"/>
            </w:rPr>
          </w:pPr>
          <w:bookmarkStart w:id="8" w:name="swiOFStreetAddressVert"/>
          <w:bookmarkEnd w:id="8"/>
          <w:r>
            <w:rPr>
              <w:rFonts w:cs="Arial"/>
              <w:color w:val="000000" w:themeColor="text1"/>
              <w:szCs w:val="16"/>
            </w:rPr>
            <w:t>Suite 2200</w:t>
          </w:r>
        </w:p>
        <w:p w14:paraId="7174B6DA" w14:textId="77777777" w:rsidR="00581C84" w:rsidRDefault="004D36B6">
          <w:pPr>
            <w:pStyle w:val="Ltrhead"/>
            <w:rPr>
              <w:rFonts w:cs="Arial"/>
              <w:color w:val="000000" w:themeColor="text1"/>
              <w:szCs w:val="16"/>
            </w:rPr>
          </w:pPr>
          <w:r>
            <w:rPr>
              <w:rFonts w:cs="Arial"/>
              <w:color w:val="000000" w:themeColor="text1"/>
              <w:szCs w:val="16"/>
            </w:rPr>
            <w:t>300 North LaSalle Street</w:t>
          </w:r>
        </w:p>
        <w:p w14:paraId="2597C880" w14:textId="77777777" w:rsidR="000D4F87" w:rsidRPr="00FA5BFD" w:rsidRDefault="004D36B6">
          <w:pPr>
            <w:pStyle w:val="Ltrhead"/>
            <w:rPr>
              <w:rFonts w:cs="Arial"/>
              <w:color w:val="000000" w:themeColor="text1"/>
              <w:szCs w:val="16"/>
            </w:rPr>
          </w:pPr>
          <w:r>
            <w:rPr>
              <w:rFonts w:cs="Arial"/>
              <w:color w:val="000000" w:themeColor="text1"/>
              <w:szCs w:val="16"/>
            </w:rPr>
            <w:t>Chicago, IL  60654-3421</w:t>
          </w:r>
        </w:p>
        <w:p w14:paraId="4AF3A15A" w14:textId="77777777" w:rsidR="000D4F87" w:rsidRPr="00FA5BFD" w:rsidRDefault="000D4F87">
          <w:pPr>
            <w:pStyle w:val="Ltrhead"/>
            <w:rPr>
              <w:rFonts w:cs="Arial"/>
              <w:color w:val="000000" w:themeColor="text1"/>
              <w:szCs w:val="16"/>
            </w:rPr>
          </w:pPr>
        </w:p>
        <w:p w14:paraId="7F81E524" w14:textId="77777777" w:rsidR="000D4F87" w:rsidRDefault="004D36B6">
          <w:pPr>
            <w:pStyle w:val="Ltrhead"/>
            <w:rPr>
              <w:rFonts w:cs="Arial"/>
              <w:b/>
              <w:color w:val="000000" w:themeColor="text1"/>
              <w:szCs w:val="16"/>
            </w:rPr>
          </w:pPr>
          <w:bookmarkStart w:id="9" w:name="From"/>
          <w:bookmarkEnd w:id="9"/>
          <w:r>
            <w:rPr>
              <w:rFonts w:cs="Arial"/>
              <w:b/>
              <w:color w:val="000000" w:themeColor="text1"/>
              <w:szCs w:val="16"/>
            </w:rPr>
            <w:t>Maggie Sklar</w:t>
          </w:r>
        </w:p>
        <w:p w14:paraId="3540820D" w14:textId="77777777" w:rsidR="00581C84" w:rsidRPr="00FA5BFD" w:rsidRDefault="004D36B6">
          <w:pPr>
            <w:pStyle w:val="Ltrhead"/>
            <w:rPr>
              <w:rFonts w:cs="Arial"/>
              <w:b/>
              <w:color w:val="000000" w:themeColor="text1"/>
              <w:szCs w:val="16"/>
            </w:rPr>
          </w:pPr>
          <w:r>
            <w:rPr>
              <w:rFonts w:cs="Arial"/>
              <w:b/>
              <w:color w:val="000000" w:themeColor="text1"/>
              <w:szCs w:val="16"/>
            </w:rPr>
            <w:t>Partner, Banking and Financial Services</w:t>
          </w:r>
        </w:p>
        <w:p w14:paraId="06C9FCD3" w14:textId="77777777" w:rsidR="000D4F87" w:rsidRPr="00FA5BFD" w:rsidRDefault="004D36B6">
          <w:pPr>
            <w:pStyle w:val="Ltrhead"/>
            <w:rPr>
              <w:rFonts w:cs="Arial"/>
              <w:color w:val="000000" w:themeColor="text1"/>
              <w:szCs w:val="16"/>
            </w:rPr>
          </w:pPr>
          <w:bookmarkStart w:id="10" w:name="swiOFPhone"/>
          <w:bookmarkStart w:id="11" w:name="swiOFFax"/>
          <w:bookmarkEnd w:id="10"/>
          <w:bookmarkEnd w:id="11"/>
          <w:r>
            <w:rPr>
              <w:rFonts w:cs="Arial"/>
              <w:color w:val="000000" w:themeColor="text1"/>
              <w:szCs w:val="16"/>
            </w:rPr>
            <w:t>maggiesklar@dwt.com</w:t>
          </w:r>
        </w:p>
        <w:p w14:paraId="0DF4E4CD" w14:textId="77777777" w:rsidR="000D4F87" w:rsidRPr="00FA5BFD" w:rsidRDefault="000D4F87">
          <w:pPr>
            <w:pStyle w:val="Ltrhead"/>
            <w:rPr>
              <w:rFonts w:cs="Arial"/>
              <w:color w:val="000000" w:themeColor="text1"/>
            </w:rPr>
          </w:pPr>
        </w:p>
      </w:tc>
    </w:tr>
    <w:bookmarkEnd w:id="6"/>
    <w:bookmarkEnd w:id="7"/>
  </w:tbl>
  <w:p w14:paraId="492F220E" w14:textId="77777777" w:rsidR="000D4F87" w:rsidRDefault="000D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5EBE"/>
    <w:multiLevelType w:val="multilevel"/>
    <w:tmpl w:val="5F747726"/>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num w:numId="1" w16cid:durableId="410391077">
    <w:abstractNumId w:val="0"/>
  </w:num>
  <w:num w:numId="2" w16cid:durableId="698241105">
    <w:abstractNumId w:val="0"/>
  </w:num>
  <w:num w:numId="3" w16cid:durableId="996346678">
    <w:abstractNumId w:val="0"/>
  </w:num>
  <w:num w:numId="4" w16cid:durableId="1176651056">
    <w:abstractNumId w:val="0"/>
  </w:num>
  <w:num w:numId="5" w16cid:durableId="945310443">
    <w:abstractNumId w:val="0"/>
  </w:num>
  <w:num w:numId="6" w16cid:durableId="6639117">
    <w:abstractNumId w:val="0"/>
  </w:num>
  <w:num w:numId="7" w16cid:durableId="75594194">
    <w:abstractNumId w:val="0"/>
  </w:num>
  <w:num w:numId="8" w16cid:durableId="2049913800">
    <w:abstractNumId w:val="0"/>
  </w:num>
  <w:num w:numId="9" w16cid:durableId="21374051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84"/>
    <w:rsid w:val="00002EE9"/>
    <w:rsid w:val="000413C4"/>
    <w:rsid w:val="00075904"/>
    <w:rsid w:val="000B290A"/>
    <w:rsid w:val="000D4F87"/>
    <w:rsid w:val="000E6D87"/>
    <w:rsid w:val="00117615"/>
    <w:rsid w:val="00177D70"/>
    <w:rsid w:val="00192B3B"/>
    <w:rsid w:val="001D0108"/>
    <w:rsid w:val="001D11C9"/>
    <w:rsid w:val="001F02D5"/>
    <w:rsid w:val="002324D0"/>
    <w:rsid w:val="00251728"/>
    <w:rsid w:val="00267BE6"/>
    <w:rsid w:val="00286CA3"/>
    <w:rsid w:val="002D0947"/>
    <w:rsid w:val="003152AF"/>
    <w:rsid w:val="00322F05"/>
    <w:rsid w:val="00331409"/>
    <w:rsid w:val="003764B6"/>
    <w:rsid w:val="003C498E"/>
    <w:rsid w:val="003E032E"/>
    <w:rsid w:val="003E7E00"/>
    <w:rsid w:val="004001B0"/>
    <w:rsid w:val="004216C1"/>
    <w:rsid w:val="004745E2"/>
    <w:rsid w:val="00495C1F"/>
    <w:rsid w:val="004A0909"/>
    <w:rsid w:val="004D36B6"/>
    <w:rsid w:val="00525453"/>
    <w:rsid w:val="0055536A"/>
    <w:rsid w:val="00581C84"/>
    <w:rsid w:val="005951F8"/>
    <w:rsid w:val="005C5150"/>
    <w:rsid w:val="005E1A9B"/>
    <w:rsid w:val="006556E3"/>
    <w:rsid w:val="006B5295"/>
    <w:rsid w:val="006F1404"/>
    <w:rsid w:val="007A22E1"/>
    <w:rsid w:val="007E2F37"/>
    <w:rsid w:val="00800FDD"/>
    <w:rsid w:val="00806845"/>
    <w:rsid w:val="00854A46"/>
    <w:rsid w:val="00880BC2"/>
    <w:rsid w:val="008A2525"/>
    <w:rsid w:val="008D5AE7"/>
    <w:rsid w:val="008F1317"/>
    <w:rsid w:val="00952B80"/>
    <w:rsid w:val="00986692"/>
    <w:rsid w:val="00992EC8"/>
    <w:rsid w:val="009D5315"/>
    <w:rsid w:val="00A413FC"/>
    <w:rsid w:val="00A81A5E"/>
    <w:rsid w:val="00AA14A7"/>
    <w:rsid w:val="00B800A5"/>
    <w:rsid w:val="00BD01D0"/>
    <w:rsid w:val="00BD0FC7"/>
    <w:rsid w:val="00C25B17"/>
    <w:rsid w:val="00C332C0"/>
    <w:rsid w:val="00D12CC8"/>
    <w:rsid w:val="00DB1121"/>
    <w:rsid w:val="00DC45F1"/>
    <w:rsid w:val="00DD2F50"/>
    <w:rsid w:val="00E12036"/>
    <w:rsid w:val="00E54318"/>
    <w:rsid w:val="00E6190E"/>
    <w:rsid w:val="00E77D00"/>
    <w:rsid w:val="00E91EBA"/>
    <w:rsid w:val="00EC5CDD"/>
    <w:rsid w:val="00EE51F7"/>
    <w:rsid w:val="00FA5BFD"/>
    <w:rsid w:val="00FC1863"/>
    <w:rsid w:val="00FD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4BF52"/>
  <w15:docId w15:val="{9C3E705C-C378-4CF1-A37F-8AF68AF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3"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Pr>
      <w:sz w:val="24"/>
      <w:szCs w:val="24"/>
    </w:rPr>
  </w:style>
  <w:style w:type="paragraph" w:styleId="Heading1">
    <w:name w:val="heading 1"/>
    <w:basedOn w:val="Normal"/>
    <w:next w:val="Normal"/>
    <w:uiPriority w:val="9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9"/>
    <w:qFormat/>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semiHidden/>
    <w:qFormat/>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semiHidden/>
    <w:qFormat/>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semiHidden/>
    <w:qFormat/>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qFormat/>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semiHidden/>
    <w:qFormat/>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pPr>
    <w:rPr>
      <w:noProof/>
      <w:sz w:val="14"/>
    </w:rPr>
  </w:style>
  <w:style w:type="paragraph" w:customStyle="1" w:styleId="Body">
    <w:name w:val="Body"/>
    <w:basedOn w:val="Normal"/>
    <w:pPr>
      <w:spacing w:line="480" w:lineRule="atLeast"/>
      <w:ind w:firstLine="720"/>
    </w:pPr>
  </w:style>
  <w:style w:type="character" w:styleId="PageNumber">
    <w:name w:val="page number"/>
    <w:basedOn w:val="DefaultParagraphFont"/>
  </w:style>
  <w:style w:type="paragraph" w:styleId="Signature">
    <w:name w:val="Signature"/>
    <w:basedOn w:val="Normal"/>
    <w:pPr>
      <w:keepNext/>
      <w:tabs>
        <w:tab w:val="left" w:pos="5040"/>
      </w:tabs>
      <w:spacing w:after="720" w:line="240" w:lineRule="atLeast"/>
    </w:pPr>
  </w:style>
  <w:style w:type="paragraph" w:customStyle="1" w:styleId="DWTNorm">
    <w:name w:val="DWTNorm"/>
    <w:basedOn w:val="Normal"/>
    <w:qFormat/>
    <w:pPr>
      <w:spacing w:after="240"/>
      <w:ind w:firstLine="720"/>
    </w:pPr>
    <w:rPr>
      <w:szCs w:val="20"/>
    </w:rPr>
  </w:style>
  <w:style w:type="paragraph" w:customStyle="1" w:styleId="AfterQuote">
    <w:name w:val="AfterQuote"/>
    <w:basedOn w:val="Normal"/>
    <w:next w:val="Normal"/>
    <w:uiPriority w:val="2"/>
    <w:qFormat/>
    <w:pPr>
      <w:spacing w:after="240"/>
    </w:pPr>
    <w:rPr>
      <w:szCs w:val="20"/>
    </w:rPr>
  </w:style>
  <w:style w:type="paragraph" w:customStyle="1" w:styleId="DWTQuote">
    <w:name w:val="DWTQuote"/>
    <w:basedOn w:val="DWTNorm"/>
    <w:next w:val="AfterQuote"/>
    <w:uiPriority w:val="2"/>
    <w:qFormat/>
    <w:pPr>
      <w:ind w:left="1440" w:right="1440" w:firstLine="0"/>
    </w:pPr>
  </w:style>
  <w:style w:type="paragraph" w:customStyle="1" w:styleId="OutHead1">
    <w:name w:val="OutHead1"/>
    <w:basedOn w:val="Normal"/>
    <w:next w:val="DWTNorm"/>
    <w:uiPriority w:val="1"/>
    <w:qFormat/>
    <w:pPr>
      <w:keepNext/>
      <w:numPr>
        <w:numId w:val="9"/>
      </w:numPr>
      <w:spacing w:after="240"/>
      <w:jc w:val="center"/>
      <w:outlineLvl w:val="0"/>
    </w:pPr>
    <w:rPr>
      <w:b/>
      <w:caps/>
      <w:color w:val="000000"/>
      <w:szCs w:val="20"/>
    </w:rPr>
  </w:style>
  <w:style w:type="paragraph" w:customStyle="1" w:styleId="OutHead2">
    <w:name w:val="OutHead2"/>
    <w:basedOn w:val="Normal"/>
    <w:next w:val="DWTNorm"/>
    <w:uiPriority w:val="1"/>
    <w:qFormat/>
    <w:pPr>
      <w:keepNext/>
      <w:numPr>
        <w:ilvl w:val="1"/>
        <w:numId w:val="9"/>
      </w:numPr>
      <w:spacing w:after="240"/>
      <w:outlineLvl w:val="1"/>
    </w:pPr>
    <w:rPr>
      <w:b/>
      <w:color w:val="000000"/>
      <w:szCs w:val="20"/>
    </w:rPr>
  </w:style>
  <w:style w:type="paragraph" w:customStyle="1" w:styleId="OutHead3">
    <w:name w:val="OutHead3"/>
    <w:basedOn w:val="Normal"/>
    <w:next w:val="DWTNorm"/>
    <w:uiPriority w:val="1"/>
    <w:qFormat/>
    <w:pPr>
      <w:numPr>
        <w:ilvl w:val="2"/>
        <w:numId w:val="9"/>
      </w:numPr>
      <w:spacing w:after="240"/>
      <w:jc w:val="both"/>
      <w:outlineLvl w:val="2"/>
    </w:pPr>
    <w:rPr>
      <w:b/>
      <w:color w:val="000000"/>
      <w:szCs w:val="20"/>
    </w:rPr>
  </w:style>
  <w:style w:type="paragraph" w:customStyle="1" w:styleId="OutHead4">
    <w:name w:val="OutHead4"/>
    <w:basedOn w:val="Normal"/>
    <w:next w:val="DWTNorm"/>
    <w:uiPriority w:val="1"/>
    <w:qFormat/>
    <w:pPr>
      <w:numPr>
        <w:ilvl w:val="3"/>
        <w:numId w:val="9"/>
      </w:numPr>
      <w:spacing w:after="240"/>
      <w:jc w:val="both"/>
      <w:outlineLvl w:val="3"/>
    </w:pPr>
    <w:rPr>
      <w:color w:val="000000"/>
      <w:szCs w:val="20"/>
    </w:rPr>
  </w:style>
  <w:style w:type="paragraph" w:customStyle="1" w:styleId="OutHead5">
    <w:name w:val="OutHead5"/>
    <w:basedOn w:val="Normal"/>
    <w:next w:val="DWTNorm"/>
    <w:uiPriority w:val="1"/>
    <w:qFormat/>
    <w:pPr>
      <w:numPr>
        <w:ilvl w:val="4"/>
        <w:numId w:val="9"/>
      </w:numPr>
      <w:spacing w:after="240"/>
      <w:jc w:val="both"/>
      <w:outlineLvl w:val="4"/>
    </w:pPr>
    <w:rPr>
      <w:color w:val="000000"/>
      <w:szCs w:val="20"/>
    </w:rPr>
  </w:style>
  <w:style w:type="paragraph" w:styleId="Subtitle">
    <w:name w:val="Subtitle"/>
    <w:basedOn w:val="Normal"/>
    <w:next w:val="Normal"/>
    <w:uiPriority w:val="99"/>
    <w:qFormat/>
    <w:pPr>
      <w:numPr>
        <w:ilvl w:val="1"/>
      </w:numPr>
    </w:pPr>
    <w:rPr>
      <w:rFonts w:ascii="Cambria" w:hAnsi="Cambria"/>
      <w:i/>
      <w:iCs/>
      <w:color w:val="4F81BD"/>
      <w:spacing w:val="15"/>
    </w:rPr>
  </w:style>
  <w:style w:type="paragraph" w:styleId="Title">
    <w:name w:val="Title"/>
    <w:basedOn w:val="Normal"/>
    <w:next w:val="Normal"/>
    <w:uiPriority w:val="99"/>
    <w:qFormat/>
    <w:pPr>
      <w:pBdr>
        <w:bottom w:val="single" w:sz="8" w:space="4" w:color="4F81BD"/>
      </w:pBdr>
      <w:spacing w:after="300"/>
      <w:contextualSpacing/>
    </w:pPr>
    <w:rPr>
      <w:rFonts w:ascii="Cambria" w:hAnsi="Cambria"/>
      <w:color w:val="17365D"/>
      <w:spacing w:val="5"/>
      <w:kern w:val="28"/>
      <w:sz w:val="52"/>
      <w:szCs w:val="52"/>
    </w:rPr>
  </w:style>
  <w:style w:type="paragraph" w:customStyle="1" w:styleId="OutHead6">
    <w:name w:val="OutHead6"/>
    <w:basedOn w:val="Normal"/>
    <w:next w:val="DWTNorm"/>
    <w:uiPriority w:val="1"/>
    <w:qFormat/>
    <w:pPr>
      <w:numPr>
        <w:ilvl w:val="5"/>
        <w:numId w:val="9"/>
      </w:numPr>
      <w:spacing w:after="240"/>
      <w:jc w:val="both"/>
      <w:outlineLvl w:val="5"/>
    </w:pPr>
    <w:rPr>
      <w:color w:val="000000"/>
      <w:szCs w:val="20"/>
    </w:rPr>
  </w:style>
  <w:style w:type="paragraph" w:styleId="BodyTextIndent">
    <w:name w:val="Body Text Indent"/>
    <w:basedOn w:val="Normal"/>
    <w:pPr>
      <w:spacing w:after="120"/>
      <w:ind w:left="360"/>
    </w:pPr>
  </w:style>
  <w:style w:type="paragraph" w:customStyle="1" w:styleId="OutHead7">
    <w:name w:val="OutHead7"/>
    <w:basedOn w:val="Normal"/>
    <w:next w:val="DWTNorm"/>
    <w:uiPriority w:val="1"/>
    <w:qFormat/>
    <w:pPr>
      <w:numPr>
        <w:ilvl w:val="6"/>
        <w:numId w:val="9"/>
      </w:numPr>
      <w:spacing w:after="240"/>
      <w:jc w:val="both"/>
      <w:outlineLvl w:val="6"/>
    </w:pPr>
    <w:rPr>
      <w:color w:val="000000"/>
      <w:szCs w:val="20"/>
    </w:rPr>
  </w:style>
  <w:style w:type="paragraph" w:styleId="TOC1">
    <w:name w:val="toc 1"/>
    <w:basedOn w:val="Normal"/>
    <w:next w:val="Normal"/>
    <w:autoRedefine/>
    <w:semiHidden/>
    <w:pPr>
      <w:widowControl w:val="0"/>
      <w:spacing w:after="240"/>
    </w:pPr>
  </w:style>
  <w:style w:type="paragraph" w:styleId="TOC2">
    <w:name w:val="toc 2"/>
    <w:basedOn w:val="Normal"/>
    <w:next w:val="Normal"/>
    <w:autoRedefine/>
    <w:semiHidden/>
    <w:pPr>
      <w:widowControl w:val="0"/>
      <w:spacing w:after="240"/>
      <w:ind w:left="245"/>
    </w:pPr>
  </w:style>
  <w:style w:type="paragraph" w:styleId="TOC3">
    <w:name w:val="toc 3"/>
    <w:basedOn w:val="Normal"/>
    <w:next w:val="Normal"/>
    <w:autoRedefine/>
    <w:semiHidden/>
    <w:pPr>
      <w:widowControl w:val="0"/>
      <w:spacing w:after="240"/>
      <w:ind w:left="475"/>
    </w:pPr>
  </w:style>
  <w:style w:type="paragraph" w:styleId="TOC4">
    <w:name w:val="toc 4"/>
    <w:basedOn w:val="Normal"/>
    <w:next w:val="Normal"/>
    <w:autoRedefine/>
    <w:semiHidden/>
    <w:pPr>
      <w:widowControl w:val="0"/>
      <w:spacing w:after="240"/>
      <w:ind w:left="720"/>
    </w:pPr>
  </w:style>
  <w:style w:type="paragraph" w:styleId="TOC5">
    <w:name w:val="toc 5"/>
    <w:basedOn w:val="Normal"/>
    <w:next w:val="Normal"/>
    <w:autoRedefine/>
    <w:semiHidden/>
    <w:pPr>
      <w:widowControl w:val="0"/>
      <w:spacing w:after="240"/>
      <w:ind w:left="965"/>
    </w:pPr>
  </w:style>
  <w:style w:type="paragraph" w:styleId="TOC6">
    <w:name w:val="toc 6"/>
    <w:basedOn w:val="Normal"/>
    <w:next w:val="Normal"/>
    <w:autoRedefine/>
    <w:semiHidden/>
    <w:pPr>
      <w:widowControl w:val="0"/>
      <w:spacing w:after="240"/>
      <w:ind w:left="1195"/>
    </w:pPr>
  </w:style>
  <w:style w:type="paragraph" w:styleId="TOC7">
    <w:name w:val="toc 7"/>
    <w:basedOn w:val="Normal"/>
    <w:next w:val="Normal"/>
    <w:autoRedefine/>
    <w:semiHidden/>
    <w:pPr>
      <w:widowControl w:val="0"/>
      <w:spacing w:after="240"/>
      <w:ind w:left="1440"/>
    </w:pPr>
  </w:style>
  <w:style w:type="paragraph" w:styleId="TOC8">
    <w:name w:val="toc 8"/>
    <w:basedOn w:val="Normal"/>
    <w:next w:val="Normal"/>
    <w:autoRedefine/>
    <w:semiHidden/>
    <w:pPr>
      <w:widowControl w:val="0"/>
      <w:spacing w:after="240"/>
      <w:ind w:left="1685"/>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TOC9">
    <w:name w:val="toc 9"/>
    <w:basedOn w:val="Normal"/>
    <w:next w:val="Normal"/>
    <w:autoRedefine/>
    <w:semiHidden/>
    <w:pPr>
      <w:widowControl w:val="0"/>
      <w:spacing w:after="240"/>
      <w:ind w:left="1915"/>
    </w:pPr>
  </w:style>
  <w:style w:type="paragraph" w:styleId="FootnoteText">
    <w:name w:val="footnote text"/>
    <w:basedOn w:val="Normal"/>
    <w:semiHidden/>
    <w:pPr>
      <w:spacing w:after="80"/>
    </w:pPr>
    <w:rPr>
      <w:sz w:val="20"/>
    </w:rPr>
  </w:style>
  <w:style w:type="paragraph" w:customStyle="1" w:styleId="OutHead8">
    <w:name w:val="OutHead8"/>
    <w:basedOn w:val="Normal"/>
    <w:next w:val="DWTNorm"/>
    <w:uiPriority w:val="1"/>
    <w:qFormat/>
    <w:pPr>
      <w:numPr>
        <w:ilvl w:val="7"/>
        <w:numId w:val="9"/>
      </w:numPr>
      <w:spacing w:after="240"/>
      <w:jc w:val="both"/>
      <w:outlineLvl w:val="7"/>
    </w:pPr>
    <w:rPr>
      <w:color w:val="000000"/>
      <w:szCs w:val="20"/>
    </w:rPr>
  </w:style>
  <w:style w:type="paragraph" w:styleId="TableofAuthorities">
    <w:name w:val="table of authorities"/>
    <w:basedOn w:val="Normal"/>
    <w:next w:val="Normal"/>
    <w:semiHidden/>
    <w:pPr>
      <w:widowControl w:val="0"/>
      <w:ind w:left="240" w:hanging="240"/>
    </w:pPr>
  </w:style>
  <w:style w:type="paragraph" w:styleId="TOAHeading">
    <w:name w:val="toa heading"/>
    <w:basedOn w:val="Normal"/>
    <w:next w:val="Normal"/>
    <w:semiHidden/>
    <w:pPr>
      <w:widowControl w:val="0"/>
      <w:spacing w:before="120"/>
    </w:pPr>
    <w:rPr>
      <w:b/>
    </w:rPr>
  </w:style>
  <w:style w:type="character" w:styleId="FootnoteReference">
    <w:name w:val="footnote reference"/>
    <w:basedOn w:val="DefaultParagraphFont"/>
    <w:semiHidden/>
    <w:rPr>
      <w:vertAlign w:val="superscript"/>
    </w:rPr>
  </w:style>
  <w:style w:type="paragraph" w:customStyle="1" w:styleId="IsLetter">
    <w:name w:val="IsLetter"/>
    <w:basedOn w:val="Normal"/>
    <w:pPr>
      <w:spacing w:line="240" w:lineRule="atLeast"/>
    </w:pPr>
  </w:style>
  <w:style w:type="paragraph" w:customStyle="1" w:styleId="cc">
    <w:name w:val="cc"/>
    <w:basedOn w:val="Normal"/>
    <w:pPr>
      <w:ind w:left="720" w:hanging="720"/>
    </w:pPr>
  </w:style>
  <w:style w:type="paragraph" w:customStyle="1" w:styleId="Confidential">
    <w:name w:val="Confidential"/>
    <w:basedOn w:val="Normal"/>
    <w:pPr>
      <w:spacing w:after="240" w:line="240" w:lineRule="atLeast"/>
    </w:pPr>
    <w:rPr>
      <w:b/>
    </w:rPr>
  </w:style>
  <w:style w:type="paragraph" w:styleId="Date">
    <w:name w:val="Date"/>
    <w:basedOn w:val="Normal"/>
    <w:next w:val="Normal"/>
    <w:pPr>
      <w:spacing w:after="240"/>
    </w:pPr>
  </w:style>
  <w:style w:type="paragraph" w:customStyle="1" w:styleId="Re">
    <w:name w:val="Re"/>
    <w:basedOn w:val="Normal"/>
    <w:next w:val="DWTNorm"/>
    <w:pPr>
      <w:spacing w:after="240"/>
      <w:ind w:left="720" w:hanging="720"/>
    </w:pPr>
  </w:style>
  <w:style w:type="paragraph" w:customStyle="1" w:styleId="Ltrhead">
    <w:name w:val="Ltrhead"/>
    <w:basedOn w:val="Normal"/>
    <w:rPr>
      <w:rFonts w:ascii="Arial" w:hAnsi="Arial"/>
      <w:sz w:val="16"/>
    </w:rPr>
  </w:style>
  <w:style w:type="paragraph" w:customStyle="1" w:styleId="Ltrhead2">
    <w:name w:val="Ltrhead2"/>
    <w:basedOn w:val="Normal"/>
    <w:pPr>
      <w:spacing w:after="40"/>
    </w:pPr>
    <w:rPr>
      <w:rFonts w:ascii="Garamond" w:hAnsi="Garamond"/>
      <w:smallCaps/>
      <w:spacing w:val="40"/>
      <w:sz w:val="14"/>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pPr>
      <w:keepNext/>
      <w:tabs>
        <w:tab w:val="left" w:pos="5040"/>
      </w:tabs>
      <w:spacing w:after="240"/>
    </w:pPr>
  </w:style>
  <w:style w:type="paragraph" w:styleId="Salutation">
    <w:name w:val="Salutation"/>
    <w:basedOn w:val="Normal"/>
    <w:next w:val="Normal"/>
    <w:pPr>
      <w:spacing w:after="240"/>
    </w:pPr>
  </w:style>
  <w:style w:type="paragraph" w:customStyle="1" w:styleId="DWTTitle">
    <w:name w:val="DWTTitle"/>
    <w:basedOn w:val="Normal"/>
    <w:next w:val="DWTNorm"/>
    <w:uiPriority w:val="2"/>
    <w:qFormat/>
    <w:pPr>
      <w:keepNext/>
      <w:widowControl w:val="0"/>
      <w:spacing w:after="240"/>
      <w:jc w:val="center"/>
    </w:pPr>
    <w:rPr>
      <w:b/>
      <w:caps/>
      <w:szCs w:val="20"/>
    </w:rPr>
  </w:style>
  <w:style w:type="character" w:customStyle="1" w:styleId="Heading4Char">
    <w:name w:val="Heading 4 Char"/>
    <w:basedOn w:val="DefaultParagraphFont"/>
    <w:link w:val="Heading4"/>
    <w:uiPriority w:val="99"/>
    <w:semiHidden/>
    <w:rPr>
      <w:rFonts w:ascii="Cambria" w:hAnsi="Cambria"/>
      <w:b/>
      <w:bCs/>
      <w:i/>
      <w:iCs/>
      <w:color w:val="4F81BD"/>
      <w:sz w:val="24"/>
      <w:szCs w:val="24"/>
    </w:rPr>
  </w:style>
  <w:style w:type="character" w:customStyle="1" w:styleId="Heading5Char">
    <w:name w:val="Heading 5 Char"/>
    <w:basedOn w:val="DefaultParagraphFont"/>
    <w:link w:val="Heading5"/>
    <w:uiPriority w:val="99"/>
    <w:semiHidden/>
    <w:rPr>
      <w:rFonts w:ascii="Cambria" w:hAnsi="Cambria"/>
      <w:color w:val="243F60"/>
      <w:sz w:val="24"/>
      <w:szCs w:val="24"/>
    </w:rPr>
  </w:style>
  <w:style w:type="character" w:customStyle="1" w:styleId="Heading6Char">
    <w:name w:val="Heading 6 Char"/>
    <w:basedOn w:val="DefaultParagraphFont"/>
    <w:link w:val="Heading6"/>
    <w:uiPriority w:val="99"/>
    <w:semiHidden/>
    <w:rPr>
      <w:rFonts w:ascii="Cambria" w:hAnsi="Cambria"/>
      <w:i/>
      <w:iCs/>
      <w:color w:val="243F60"/>
      <w:sz w:val="24"/>
      <w:szCs w:val="24"/>
    </w:rPr>
  </w:style>
  <w:style w:type="character" w:customStyle="1" w:styleId="Heading7Char">
    <w:name w:val="Heading 7 Char"/>
    <w:basedOn w:val="DefaultParagraphFont"/>
    <w:link w:val="Heading7"/>
    <w:uiPriority w:val="99"/>
    <w:semiHidden/>
    <w:rPr>
      <w:rFonts w:ascii="Cambria" w:hAnsi="Cambria"/>
      <w:i/>
      <w:iCs/>
      <w:color w:val="404040"/>
      <w:sz w:val="24"/>
      <w:szCs w:val="24"/>
    </w:rPr>
  </w:style>
  <w:style w:type="character" w:customStyle="1" w:styleId="Heading8Char">
    <w:name w:val="Heading 8 Char"/>
    <w:basedOn w:val="DefaultParagraphFont"/>
    <w:link w:val="Heading8"/>
    <w:uiPriority w:val="99"/>
    <w:semiHidden/>
    <w:rPr>
      <w:rFonts w:ascii="Cambria" w:hAnsi="Cambria"/>
      <w:color w:val="404040"/>
    </w:rPr>
  </w:style>
  <w:style w:type="character" w:customStyle="1" w:styleId="Heading9Char">
    <w:name w:val="Heading 9 Char"/>
    <w:basedOn w:val="DefaultParagraphFont"/>
    <w:link w:val="Heading9"/>
    <w:uiPriority w:val="99"/>
    <w:semiHidden/>
    <w:rPr>
      <w:rFonts w:ascii="Cambria" w:hAnsi="Cambria"/>
      <w:i/>
      <w:iCs/>
      <w:color w:val="404040"/>
    </w:rPr>
  </w:style>
  <w:style w:type="paragraph" w:styleId="Caption">
    <w:name w:val="caption"/>
    <w:basedOn w:val="Normal"/>
    <w:next w:val="Normal"/>
    <w:uiPriority w:val="99"/>
    <w:semiHidden/>
    <w:qFormat/>
    <w:pPr>
      <w:spacing w:after="200"/>
    </w:pPr>
    <w:rPr>
      <w:b/>
      <w:bCs/>
      <w:color w:val="4F81BD"/>
      <w:sz w:val="18"/>
      <w:szCs w:val="18"/>
    </w:rPr>
  </w:style>
  <w:style w:type="character" w:styleId="Strong">
    <w:name w:val="Strong"/>
    <w:uiPriority w:val="99"/>
    <w:qFormat/>
    <w:rPr>
      <w:b/>
      <w:bCs/>
    </w:rPr>
  </w:style>
  <w:style w:type="character" w:styleId="Emphasis">
    <w:name w:val="Emphasis"/>
    <w:uiPriority w:val="99"/>
    <w:qFormat/>
    <w:rPr>
      <w:i/>
      <w:iCs/>
    </w:rPr>
  </w:style>
  <w:style w:type="paragraph" w:styleId="NoSpacing">
    <w:name w:val="No Spacing"/>
    <w:uiPriority w:val="99"/>
    <w:qFormat/>
    <w:rPr>
      <w:sz w:val="24"/>
      <w:szCs w:val="24"/>
    </w:rPr>
  </w:style>
  <w:style w:type="paragraph" w:styleId="ListParagraph">
    <w:name w:val="List Paragraph"/>
    <w:basedOn w:val="Normal"/>
    <w:uiPriority w:val="99"/>
    <w:qFormat/>
    <w:pPr>
      <w:ind w:left="720"/>
      <w:contextualSpacing/>
    </w:pPr>
  </w:style>
  <w:style w:type="paragraph" w:styleId="Quote">
    <w:name w:val="Quote"/>
    <w:basedOn w:val="Normal"/>
    <w:next w:val="Normal"/>
    <w:link w:val="QuoteChar"/>
    <w:uiPriority w:val="99"/>
    <w:qFormat/>
    <w:rPr>
      <w:i/>
      <w:iCs/>
      <w:color w:val="000000"/>
    </w:rPr>
  </w:style>
  <w:style w:type="character" w:customStyle="1" w:styleId="QuoteChar">
    <w:name w:val="Quote Char"/>
    <w:basedOn w:val="DefaultParagraphFont"/>
    <w:link w:val="Quote"/>
    <w:uiPriority w:val="99"/>
    <w:rPr>
      <w:i/>
      <w:iCs/>
      <w:color w:val="000000"/>
      <w:sz w:val="24"/>
      <w:szCs w:val="24"/>
    </w:rPr>
  </w:style>
  <w:style w:type="paragraph" w:styleId="IntenseQuote">
    <w:name w:val="Intense Quote"/>
    <w:basedOn w:val="Normal"/>
    <w:next w:val="Normal"/>
    <w:link w:val="IntenseQuoteChar"/>
    <w:uiPriority w:val="99"/>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Pr>
      <w:b/>
      <w:bCs/>
      <w:i/>
      <w:iCs/>
      <w:color w:val="4F81BD"/>
      <w:sz w:val="24"/>
      <w:szCs w:val="24"/>
    </w:rPr>
  </w:style>
  <w:style w:type="character" w:styleId="SubtleEmphasis">
    <w:name w:val="Subtle Emphasis"/>
    <w:uiPriority w:val="99"/>
    <w:qFormat/>
    <w:rPr>
      <w:i/>
      <w:iCs/>
      <w:color w:val="808080"/>
    </w:rPr>
  </w:style>
  <w:style w:type="character" w:styleId="IntenseEmphasis">
    <w:name w:val="Intense Emphasis"/>
    <w:uiPriority w:val="99"/>
    <w:qFormat/>
    <w:rPr>
      <w:b/>
      <w:bCs/>
      <w:i/>
      <w:iCs/>
      <w:color w:val="4F81BD"/>
    </w:rPr>
  </w:style>
  <w:style w:type="character" w:styleId="SubtleReference">
    <w:name w:val="Subtle Reference"/>
    <w:uiPriority w:val="99"/>
    <w:qFormat/>
    <w:rPr>
      <w:smallCaps/>
      <w:color w:val="C0504D"/>
      <w:u w:val="single"/>
    </w:rPr>
  </w:style>
  <w:style w:type="character" w:styleId="IntenseReference">
    <w:name w:val="Intense Reference"/>
    <w:uiPriority w:val="99"/>
    <w:qFormat/>
    <w:rPr>
      <w:b/>
      <w:bCs/>
      <w:smallCaps/>
      <w:color w:val="C0504D"/>
      <w:spacing w:val="5"/>
      <w:u w:val="single"/>
    </w:rPr>
  </w:style>
  <w:style w:type="character" w:styleId="BookTitle">
    <w:name w:val="Book Title"/>
    <w:uiPriority w:val="99"/>
    <w:qFormat/>
    <w:rPr>
      <w:b/>
      <w:bCs/>
      <w:smallCaps/>
      <w:spacing w:val="5"/>
    </w:rPr>
  </w:style>
  <w:style w:type="paragraph" w:styleId="TOCHeading">
    <w:name w:val="TOC Heading"/>
    <w:basedOn w:val="Heading1"/>
    <w:next w:val="Normal"/>
    <w:uiPriority w:val="99"/>
    <w:semiHidden/>
    <w:qFormat/>
    <w:pPr>
      <w:outlineLvl w:val="9"/>
    </w:pPr>
  </w:style>
  <w:style w:type="character" w:customStyle="1" w:styleId="DocID">
    <w:name w:val="DocID"/>
    <w:basedOn w:val="DefaultParagraphFont"/>
    <w:uiPriority w:val="99"/>
    <w:semiHidden/>
    <w:rPr>
      <w:rFonts w:ascii="Times New Roman" w:hAnsi="Times New Roman"/>
      <w:sz w:val="16"/>
    </w:rPr>
  </w:style>
  <w:style w:type="paragraph" w:customStyle="1" w:styleId="Default">
    <w:name w:val="Default"/>
    <w:rsid w:val="00581C8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Footnote">
    <w:name w:val="Footnote"/>
    <w:rsid w:val="00581C84"/>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Revision">
    <w:name w:val="Revision"/>
    <w:hidden/>
    <w:uiPriority w:val="99"/>
    <w:semiHidden/>
    <w:rsid w:val="00581C84"/>
    <w:rPr>
      <w:sz w:val="24"/>
      <w:szCs w:val="24"/>
    </w:rPr>
  </w:style>
  <w:style w:type="paragraph" w:styleId="CommentSubject">
    <w:name w:val="annotation subject"/>
    <w:basedOn w:val="CommentText"/>
    <w:next w:val="CommentText"/>
    <w:link w:val="CommentSubjectChar"/>
    <w:semiHidden/>
    <w:unhideWhenUsed/>
    <w:rsid w:val="00FD055F"/>
    <w:rPr>
      <w:b/>
      <w:bCs/>
      <w:szCs w:val="20"/>
    </w:rPr>
  </w:style>
  <w:style w:type="character" w:customStyle="1" w:styleId="CommentTextChar">
    <w:name w:val="Comment Text Char"/>
    <w:basedOn w:val="DefaultParagraphFont"/>
    <w:link w:val="CommentText"/>
    <w:semiHidden/>
    <w:rsid w:val="00FD055F"/>
    <w:rPr>
      <w:szCs w:val="24"/>
    </w:rPr>
  </w:style>
  <w:style w:type="character" w:customStyle="1" w:styleId="CommentSubjectChar">
    <w:name w:val="Comment Subject Char"/>
    <w:basedOn w:val="CommentTextChar"/>
    <w:link w:val="CommentSubject"/>
    <w:semiHidden/>
    <w:rsid w:val="00FD055F"/>
    <w:rPr>
      <w:b/>
      <w:bCs/>
      <w:szCs w:val="24"/>
    </w:rPr>
  </w:style>
  <w:style w:type="character" w:styleId="Hyperlink">
    <w:name w:val="Hyperlink"/>
    <w:basedOn w:val="DefaultParagraphFont"/>
    <w:unhideWhenUsed/>
    <w:rsid w:val="00286CA3"/>
    <w:rPr>
      <w:color w:val="0000FF" w:themeColor="hyperlink"/>
      <w:u w:val="single"/>
    </w:rPr>
  </w:style>
  <w:style w:type="character" w:customStyle="1" w:styleId="UnresolvedMention1">
    <w:name w:val="Unresolved Mention1"/>
    <w:basedOn w:val="DefaultParagraphFont"/>
    <w:uiPriority w:val="99"/>
    <w:semiHidden/>
    <w:unhideWhenUsed/>
    <w:rsid w:val="00286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ggiesklar@dwt.co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ftc.gov/PressRoom/PressReleases/8728-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lam\AppData\Roaming\Microsoft\Templates\DWT%20Letter-Memo-Fax\Letter%20(Electroni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DE9D-4040-4DB9-AD53-1BC2F670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(Electronic)</Template>
  <TotalTime>0</TotalTime>
  <Pages>3</Pages>
  <Words>820</Words>
  <Characters>4653</Characters>
  <Application>Microsoft Office Word</Application>
  <DocSecurity>0</DocSecurity>
  <Lines>96</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Sklar, Maggie</cp:lastModifiedBy>
  <cp:revision>2</cp:revision>
  <dcterms:created xsi:type="dcterms:W3CDTF">2023-07-24T19:10:00Z</dcterms:created>
  <dcterms:modified xsi:type="dcterms:W3CDTF">2023-07-24T19:10:00Z</dcterms:modified>
</cp:coreProperties>
</file>